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农机安全生产监督检査</w:t>
      </w:r>
      <w:r>
        <w:rPr>
          <w:rFonts w:hint="eastAsia" w:ascii="方正小标宋简体" w:hAnsi="方正小标宋简体" w:eastAsia="方正小标宋简体" w:cs="方正小标宋简体"/>
          <w:kern w:val="0"/>
          <w:sz w:val="44"/>
          <w:szCs w:val="44"/>
          <w:lang w:val="en-US" w:eastAsia="zh-CN"/>
        </w:rPr>
        <w:t>工作经费</w:t>
      </w:r>
      <w:r>
        <w:rPr>
          <w:rFonts w:hint="eastAsia" w:ascii="方正小标宋简体" w:hAnsi="方正小标宋简体" w:eastAsia="方正小标宋简体" w:cs="方正小标宋简体"/>
          <w:kern w:val="0"/>
          <w:sz w:val="44"/>
          <w:szCs w:val="44"/>
        </w:rPr>
        <w:t>资金</w:t>
      </w:r>
    </w:p>
    <w:p>
      <w:pPr>
        <w:spacing w:line="540" w:lineRule="exact"/>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项目支出绩效评价报告</w:t>
      </w: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 20</w:t>
      </w:r>
      <w:r>
        <w:rPr>
          <w:rFonts w:hint="eastAsia" w:ascii="仿宋_GB2312" w:hAnsi="仿宋_GB2312" w:eastAsia="仿宋_GB2312" w:cs="仿宋_GB2312"/>
          <w:kern w:val="0"/>
          <w:sz w:val="36"/>
          <w:szCs w:val="36"/>
          <w:lang w:val="en-US" w:eastAsia="zh-CN"/>
        </w:rPr>
        <w:t>20</w:t>
      </w:r>
      <w:r>
        <w:rPr>
          <w:rFonts w:hint="eastAsia" w:ascii="仿宋_GB2312" w:hAnsi="仿宋_GB2312" w:eastAsia="仿宋_GB2312" w:cs="仿宋_GB2312"/>
          <w:kern w:val="0"/>
          <w:sz w:val="36"/>
          <w:szCs w:val="36"/>
        </w:rPr>
        <w:t>年度）</w:t>
      </w:r>
    </w:p>
    <w:p>
      <w:pPr>
        <w:spacing w:line="540" w:lineRule="exact"/>
        <w:jc w:val="center"/>
        <w:rPr>
          <w:rFonts w:hint="eastAsia" w:ascii="仿宋_GB2312" w:hAnsi="仿宋_GB2312" w:eastAsia="仿宋_GB2312" w:cs="仿宋_GB2312"/>
          <w:kern w:val="0"/>
          <w:sz w:val="30"/>
          <w:szCs w:val="30"/>
        </w:rPr>
      </w:pPr>
    </w:p>
    <w:p>
      <w:pPr>
        <w:spacing w:line="540" w:lineRule="exact"/>
        <w:jc w:val="center"/>
        <w:rPr>
          <w:rFonts w:hint="eastAsia" w:ascii="仿宋_GB2312" w:hAnsi="仿宋_GB2312" w:eastAsia="仿宋_GB2312" w:cs="仿宋_GB2312"/>
          <w:kern w:val="0"/>
          <w:sz w:val="30"/>
          <w:szCs w:val="30"/>
        </w:rPr>
      </w:pPr>
    </w:p>
    <w:p>
      <w:pPr>
        <w:spacing w:line="540" w:lineRule="exact"/>
        <w:jc w:val="center"/>
        <w:rPr>
          <w:rFonts w:hint="eastAsia" w:ascii="仿宋_GB2312" w:hAnsi="仿宋_GB2312" w:eastAsia="仿宋_GB2312" w:cs="仿宋_GB2312"/>
          <w:kern w:val="0"/>
          <w:sz w:val="30"/>
          <w:szCs w:val="30"/>
        </w:rPr>
      </w:pPr>
    </w:p>
    <w:p>
      <w:pPr>
        <w:spacing w:line="540" w:lineRule="exact"/>
        <w:jc w:val="center"/>
        <w:rPr>
          <w:rFonts w:hint="eastAsia" w:ascii="仿宋_GB2312" w:hAnsi="仿宋_GB2312" w:eastAsia="仿宋_GB2312" w:cs="仿宋_GB2312"/>
          <w:kern w:val="0"/>
          <w:sz w:val="30"/>
          <w:szCs w:val="30"/>
        </w:rPr>
      </w:pPr>
    </w:p>
    <w:p>
      <w:pPr>
        <w:spacing w:line="540" w:lineRule="exact"/>
        <w:jc w:val="center"/>
        <w:rPr>
          <w:rFonts w:hint="eastAsia" w:ascii="仿宋_GB2312" w:hAnsi="仿宋_GB2312" w:eastAsia="仿宋_GB2312" w:cs="仿宋_GB2312"/>
          <w:kern w:val="0"/>
          <w:sz w:val="30"/>
          <w:szCs w:val="30"/>
        </w:rPr>
      </w:pPr>
    </w:p>
    <w:p>
      <w:pPr>
        <w:spacing w:line="700" w:lineRule="exact"/>
        <w:ind w:left="718" w:leftChars="342" w:firstLine="0" w:firstLineChars="0"/>
        <w:jc w:val="both"/>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rPr>
        <w:t>项目名称：</w:t>
      </w:r>
      <w:r>
        <w:rPr>
          <w:rFonts w:hint="eastAsia" w:ascii="仿宋_GB2312" w:hAnsi="仿宋_GB2312" w:eastAsia="仿宋_GB2312" w:cs="仿宋_GB2312"/>
          <w:kern w:val="0"/>
          <w:sz w:val="36"/>
          <w:szCs w:val="36"/>
          <w:lang w:val="en-US" w:eastAsia="zh-CN"/>
        </w:rPr>
        <w:t>2020年</w:t>
      </w:r>
      <w:r>
        <w:rPr>
          <w:rFonts w:hint="eastAsia" w:ascii="仿宋_GB2312" w:hAnsi="仿宋_GB2312" w:eastAsia="仿宋_GB2312" w:cs="仿宋_GB2312"/>
          <w:kern w:val="0"/>
          <w:sz w:val="36"/>
          <w:szCs w:val="36"/>
        </w:rPr>
        <w:t>农机安全生产监督检査</w:t>
      </w:r>
      <w:r>
        <w:rPr>
          <w:rFonts w:hint="eastAsia" w:ascii="仿宋_GB2312" w:hAnsi="仿宋_GB2312" w:eastAsia="仿宋_GB2312" w:cs="仿宋_GB2312"/>
          <w:kern w:val="0"/>
          <w:sz w:val="36"/>
          <w:szCs w:val="36"/>
          <w:lang w:val="en-US" w:eastAsia="zh-CN"/>
        </w:rPr>
        <w:t>工作经费</w:t>
      </w:r>
    </w:p>
    <w:p>
      <w:pPr>
        <w:spacing w:line="700" w:lineRule="exact"/>
        <w:ind w:left="718" w:leftChars="342" w:firstLine="0" w:firstLineChars="0"/>
        <w:jc w:val="both"/>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rPr>
        <w:t>实施单位（公章）：塔城地区</w:t>
      </w:r>
      <w:r>
        <w:rPr>
          <w:rFonts w:hint="eastAsia" w:ascii="仿宋_GB2312" w:hAnsi="仿宋_GB2312" w:eastAsia="仿宋_GB2312" w:cs="仿宋_GB2312"/>
          <w:kern w:val="0"/>
          <w:sz w:val="36"/>
          <w:szCs w:val="36"/>
          <w:lang w:eastAsia="zh-CN"/>
        </w:rPr>
        <w:t>农业综合行政执法支队</w:t>
      </w:r>
    </w:p>
    <w:p>
      <w:pPr>
        <w:spacing w:line="700" w:lineRule="exact"/>
        <w:ind w:firstLine="720" w:firstLineChars="200"/>
        <w:jc w:val="both"/>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主管部门（公章）：塔城地区农业农村局</w:t>
      </w:r>
    </w:p>
    <w:p>
      <w:pPr>
        <w:spacing w:line="700" w:lineRule="exact"/>
        <w:ind w:firstLine="720" w:firstLineChars="200"/>
        <w:jc w:val="both"/>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rPr>
        <w:t>项目负责人（签章）：</w:t>
      </w:r>
      <w:r>
        <w:rPr>
          <w:rFonts w:hint="eastAsia" w:ascii="仿宋_GB2312" w:hAnsi="仿宋_GB2312" w:eastAsia="仿宋_GB2312" w:cs="仿宋_GB2312"/>
          <w:kern w:val="0"/>
          <w:sz w:val="36"/>
          <w:szCs w:val="36"/>
          <w:lang w:eastAsia="zh-CN"/>
        </w:rPr>
        <w:t>苗永江</w:t>
      </w:r>
    </w:p>
    <w:p>
      <w:pPr>
        <w:spacing w:line="700" w:lineRule="exact"/>
        <w:ind w:firstLine="720" w:firstLineChars="200"/>
        <w:jc w:val="both"/>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填报时间：</w:t>
      </w:r>
      <w:r>
        <w:rPr>
          <w:rFonts w:hint="eastAsia" w:ascii="仿宋_GB2312" w:hAnsi="仿宋_GB2312" w:eastAsia="仿宋_GB2312" w:cs="仿宋_GB2312"/>
          <w:kern w:val="0"/>
          <w:sz w:val="36"/>
          <w:szCs w:val="36"/>
          <w:lang w:val="en-US" w:eastAsia="zh-CN"/>
        </w:rPr>
        <w:t>2021</w:t>
      </w:r>
      <w:r>
        <w:rPr>
          <w:rFonts w:hint="eastAsia" w:ascii="仿宋_GB2312" w:hAnsi="仿宋_GB2312" w:eastAsia="仿宋_GB2312" w:cs="仿宋_GB2312"/>
          <w:kern w:val="0"/>
          <w:sz w:val="36"/>
          <w:szCs w:val="36"/>
        </w:rPr>
        <w:t>年</w:t>
      </w:r>
      <w:r>
        <w:rPr>
          <w:rFonts w:hint="eastAsia" w:ascii="仿宋_GB2312" w:hAnsi="仿宋_GB2312" w:eastAsia="仿宋_GB2312" w:cs="仿宋_GB2312"/>
          <w:kern w:val="0"/>
          <w:sz w:val="36"/>
          <w:szCs w:val="36"/>
          <w:lang w:val="en-US" w:eastAsia="zh-CN"/>
        </w:rPr>
        <w:t>2</w:t>
      </w:r>
      <w:r>
        <w:rPr>
          <w:rFonts w:hint="eastAsia" w:ascii="仿宋_GB2312" w:hAnsi="仿宋_GB2312" w:eastAsia="仿宋_GB2312" w:cs="仿宋_GB2312"/>
          <w:kern w:val="0"/>
          <w:sz w:val="36"/>
          <w:szCs w:val="36"/>
        </w:rPr>
        <w:t>月</w:t>
      </w:r>
      <w:r>
        <w:rPr>
          <w:rFonts w:hint="eastAsia" w:ascii="仿宋_GB2312" w:hAnsi="仿宋_GB2312" w:eastAsia="仿宋_GB2312" w:cs="仿宋_GB2312"/>
          <w:kern w:val="0"/>
          <w:sz w:val="36"/>
          <w:szCs w:val="36"/>
          <w:lang w:val="en-US" w:eastAsia="zh-CN"/>
        </w:rPr>
        <w:t>1</w:t>
      </w:r>
      <w:r>
        <w:rPr>
          <w:rFonts w:hint="eastAsia" w:ascii="仿宋_GB2312" w:hAnsi="仿宋_GB2312" w:eastAsia="仿宋_GB2312" w:cs="仿宋_GB2312"/>
          <w:kern w:val="0"/>
          <w:sz w:val="36"/>
          <w:szCs w:val="36"/>
        </w:rPr>
        <w:t>日</w:t>
      </w:r>
    </w:p>
    <w:p>
      <w:pPr>
        <w:spacing w:line="540" w:lineRule="exact"/>
        <w:jc w:val="center"/>
        <w:rPr>
          <w:rFonts w:hAnsi="宋体" w:eastAsia="仿宋_GB2312" w:cs="宋体"/>
          <w:kern w:val="0"/>
          <w:sz w:val="30"/>
          <w:szCs w:val="30"/>
        </w:rPr>
      </w:pPr>
    </w:p>
    <w:p>
      <w:pPr>
        <w:spacing w:line="540" w:lineRule="exact"/>
        <w:rPr>
          <w:rStyle w:val="21"/>
          <w:rFonts w:ascii="黑体" w:hAnsi="黑体" w:eastAsia="黑体"/>
          <w:b w:val="0"/>
          <w:spacing w:val="-4"/>
          <w:sz w:val="32"/>
          <w:szCs w:val="32"/>
        </w:rPr>
      </w:pPr>
    </w:p>
    <w:p>
      <w:pPr>
        <w:spacing w:line="540" w:lineRule="exact"/>
        <w:ind w:firstLine="640"/>
        <w:rPr>
          <w:rStyle w:val="21"/>
          <w:rFonts w:ascii="黑体" w:hAnsi="黑体" w:eastAsia="黑体"/>
          <w:b w:val="0"/>
          <w:spacing w:val="-4"/>
          <w:sz w:val="32"/>
          <w:szCs w:val="32"/>
        </w:rPr>
      </w:pPr>
    </w:p>
    <w:p>
      <w:pPr>
        <w:spacing w:line="540" w:lineRule="exact"/>
        <w:rPr>
          <w:rStyle w:val="21"/>
          <w:rFonts w:ascii="黑体" w:hAnsi="黑体" w:eastAsia="黑体"/>
          <w:b w:val="0"/>
          <w:spacing w:val="-4"/>
          <w:sz w:val="32"/>
          <w:szCs w:val="32"/>
        </w:rPr>
      </w:pPr>
    </w:p>
    <w:p>
      <w:pPr>
        <w:pageBreakBefore w:val="0"/>
        <w:kinsoku/>
        <w:wordWrap/>
        <w:overflowPunct/>
        <w:topLinePunct w:val="0"/>
        <w:autoSpaceDE/>
        <w:autoSpaceDN/>
        <w:bidi w:val="0"/>
        <w:adjustRightInd/>
        <w:snapToGrid/>
        <w:spacing w:line="560" w:lineRule="exact"/>
        <w:textAlignment w:val="auto"/>
        <w:rPr>
          <w:rFonts w:ascii="黑体" w:hAnsi="黑体" w:eastAsia="黑体" w:cs="黑体"/>
          <w:b/>
          <w:bCs w:val="0"/>
          <w:sz w:val="32"/>
          <w:szCs w:val="32"/>
        </w:rPr>
      </w:pPr>
      <w:r>
        <w:rPr>
          <w:rFonts w:hint="eastAsia" w:ascii="黑体" w:hAnsi="黑体" w:eastAsia="黑体" w:cs="黑体"/>
          <w:b/>
          <w:bCs w:val="0"/>
          <w:sz w:val="32"/>
          <w:szCs w:val="32"/>
        </w:rPr>
        <w:t>一、基本情况</w:t>
      </w:r>
    </w:p>
    <w:p>
      <w:pPr>
        <w:pageBreakBefore w:val="0"/>
        <w:kinsoku/>
        <w:wordWrap/>
        <w:overflowPunct/>
        <w:topLinePunct w:val="0"/>
        <w:autoSpaceDE/>
        <w:autoSpaceDN/>
        <w:bidi w:val="0"/>
        <w:adjustRightInd/>
        <w:snapToGrid/>
        <w:spacing w:line="560" w:lineRule="exac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1、项目背景</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eastAsia="仿宋_GB2312"/>
          <w:lang w:eastAsia="zh-CN"/>
        </w:rPr>
      </w:pPr>
      <w:r>
        <w:rPr>
          <w:rFonts w:hint="eastAsia" w:ascii="仿宋_GB2312" w:hAnsi="仿宋_GB2312" w:eastAsia="仿宋_GB2312" w:cs="仿宋_GB2312"/>
          <w:kern w:val="0"/>
          <w:sz w:val="32"/>
          <w:szCs w:val="32"/>
        </w:rPr>
        <w:t>（1）项目实施的政策背景</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eastAsia="zh-CN"/>
        </w:rPr>
        <w:fldChar w:fldCharType="begin">
          <w:fldData xml:space="preserve">RABCADUARAAxAEIANgAwAEIAQgA1AEQANAA3ADEAQwA4AEUANQA5AEEAMAAyADgANgAwADUAMAAw
ADMAMwBCAA==
</w:fldData>
        </w:fldChar>
      </w:r>
      <w:r>
        <w:rPr>
          <w:rFonts w:hint="eastAsia" w:ascii="仿宋_GB2312" w:hAnsi="仿宋_GB2312" w:eastAsia="仿宋_GB2312" w:cs="仿宋_GB2312"/>
          <w:kern w:val="0"/>
          <w:sz w:val="32"/>
          <w:szCs w:val="32"/>
          <w:lang w:eastAsia="zh-CN"/>
        </w:rPr>
        <w:instrText xml:space="preserve">Addin 项目背景及内容</w:instrText>
      </w:r>
      <w:r>
        <w:rPr>
          <w:rFonts w:hint="eastAsia" w:ascii="仿宋_GB2312" w:hAnsi="仿宋_GB2312" w:eastAsia="仿宋_GB2312" w:cs="仿宋_GB2312"/>
          <w:kern w:val="0"/>
          <w:sz w:val="32"/>
          <w:szCs w:val="32"/>
          <w:lang w:eastAsia="zh-CN"/>
        </w:rPr>
        <w:fldChar w:fldCharType="separate"/>
      </w:r>
      <w:r>
        <w:rPr>
          <w:rFonts w:hint="eastAsia" w:ascii="仿宋_GB2312" w:hAnsi="仿宋_GB2312" w:eastAsia="仿宋_GB2312" w:cs="仿宋_GB2312"/>
          <w:kern w:val="0"/>
          <w:sz w:val="32"/>
          <w:szCs w:val="32"/>
          <w:lang w:eastAsia="zh-CN"/>
        </w:rPr>
        <w:t>2016年5月国家扩大18项行政事业性收费免征，其中农机监理收费5项，收费免征后，我单位行政事业性收费收入由原来每年的80万减少至12万左右，工作经费严重不足。并且根据《新疆维吾尔自治区关于大型工程机械设备和车辆安全监督管理办法》规定，大型工程机械设备及车辆自2017年7月1日起由农机监理部门监管。20</w:t>
      </w:r>
      <w:r>
        <w:rPr>
          <w:rFonts w:hint="eastAsia" w:ascii="仿宋_GB2312" w:hAnsi="仿宋_GB2312" w:eastAsia="仿宋_GB2312" w:cs="仿宋_GB2312"/>
          <w:kern w:val="0"/>
          <w:sz w:val="32"/>
          <w:szCs w:val="32"/>
          <w:lang w:val="en-US" w:eastAsia="zh-CN"/>
        </w:rPr>
        <w:t>20</w:t>
      </w:r>
      <w:r>
        <w:rPr>
          <w:rFonts w:hint="eastAsia" w:ascii="仿宋_GB2312" w:hAnsi="仿宋_GB2312" w:eastAsia="仿宋_GB2312" w:cs="仿宋_GB2312"/>
          <w:kern w:val="0"/>
          <w:sz w:val="32"/>
          <w:szCs w:val="32"/>
          <w:lang w:eastAsia="zh-CN"/>
        </w:rPr>
        <w:t>年需开展农机安全生产的监督管理、执法检查，农机安全生产的宣传教育、培训工作。</w:t>
      </w:r>
      <w:r>
        <w:rPr>
          <w:rFonts w:hint="eastAsia" w:ascii="仿宋_GB2312" w:hAnsi="仿宋_GB2312" w:eastAsia="仿宋_GB2312" w:cs="仿宋_GB2312"/>
          <w:kern w:val="0"/>
          <w:sz w:val="32"/>
          <w:szCs w:val="32"/>
          <w:lang w:eastAsia="zh-CN"/>
        </w:rPr>
        <w:fldChar w:fldCharType="end"/>
      </w:r>
    </w:p>
    <w:p>
      <w:pPr>
        <w:pStyle w:val="2"/>
        <w:pageBreakBefore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rPr>
          <w:rStyle w:val="21"/>
          <w:rFonts w:ascii="黑体" w:hAnsi="黑体" w:eastAsia="黑体"/>
          <w:b/>
          <w:bCs w:val="0"/>
          <w:spacing w:val="-4"/>
          <w:sz w:val="32"/>
          <w:szCs w:val="32"/>
        </w:rPr>
      </w:pPr>
      <w:r>
        <w:rPr>
          <w:rFonts w:hint="eastAsia" w:ascii="仿宋_GB2312" w:hAnsi="仿宋_GB2312" w:eastAsia="仿宋_GB2312" w:cs="仿宋_GB2312"/>
          <w:b w:val="0"/>
          <w:bCs w:val="0"/>
          <w:kern w:val="0"/>
        </w:rPr>
        <w:t>项目实施的历史概况</w:t>
      </w:r>
      <w:r>
        <w:rPr>
          <w:rFonts w:hint="eastAsia" w:ascii="仿宋_GB2312" w:hAnsi="仿宋_GB2312" w:eastAsia="仿宋_GB2312" w:cs="仿宋_GB2312"/>
          <w:b w:val="0"/>
          <w:bCs w:val="0"/>
          <w:kern w:val="0"/>
          <w:lang w:eastAsia="zh-CN"/>
        </w:rPr>
        <w:t>：</w:t>
      </w:r>
      <w:r>
        <w:rPr>
          <w:rFonts w:hint="eastAsia" w:ascii="仿宋_GB2312" w:hAnsi="仿宋_GB2312" w:eastAsia="仿宋_GB2312" w:cs="仿宋_GB2312"/>
          <w:b w:val="0"/>
          <w:bCs w:val="0"/>
          <w:kern w:val="0"/>
          <w:lang w:eastAsia="zh-CN"/>
        </w:rPr>
        <w:fldChar w:fldCharType="begin">
          <w:fldData xml:space="preserve">QwBBAEMAMAAzADUAQQA4ADgAQgAxAEYANABGADMANgBBADIAQQBFAEIAOQBFAEMAMQA1ADcAMwBB
ADIANgBDAA==
</w:fldData>
        </w:fldChar>
      </w:r>
      <w:r>
        <w:rPr>
          <w:rFonts w:hint="eastAsia" w:ascii="仿宋_GB2312" w:hAnsi="仿宋_GB2312" w:eastAsia="仿宋_GB2312" w:cs="仿宋_GB2312"/>
          <w:b w:val="0"/>
          <w:bCs w:val="0"/>
          <w:kern w:val="0"/>
          <w:lang w:eastAsia="zh-CN"/>
        </w:rPr>
        <w:instrText xml:space="preserve">Addin 实施条件</w:instrText>
      </w:r>
      <w:r>
        <w:rPr>
          <w:rFonts w:hint="eastAsia" w:ascii="仿宋_GB2312" w:hAnsi="仿宋_GB2312" w:eastAsia="仿宋_GB2312" w:cs="仿宋_GB2312"/>
          <w:b w:val="0"/>
          <w:bCs w:val="0"/>
          <w:kern w:val="0"/>
          <w:lang w:eastAsia="zh-CN"/>
        </w:rPr>
        <w:fldChar w:fldCharType="separate"/>
      </w:r>
      <w:r>
        <w:rPr>
          <w:rFonts w:hint="eastAsia" w:ascii="仿宋_GB2312" w:hAnsi="仿宋_GB2312" w:eastAsia="仿宋_GB2312" w:cs="仿宋_GB2312"/>
          <w:b w:val="0"/>
          <w:bCs w:val="0"/>
          <w:kern w:val="0"/>
          <w:lang w:eastAsia="zh-CN"/>
        </w:rPr>
        <w:t>加强辖区内农业机械和大型工程机械设备安全监督管理，开展农机法规、安全生产知识宣传教育。组织辖区农机监理人员培训，提高工作质量与效率。监督指导辖区农业机械技术检验、驾驶操作人员考核、核发牌证工作。开展农机安全生产的执法检查，提升农业机械驾驶人员持证率、农业机械上户率 、农业机械检验率，及时、按计划完成工作任务。</w:t>
      </w:r>
      <w:r>
        <w:rPr>
          <w:rFonts w:hint="eastAsia" w:ascii="仿宋_GB2312" w:hAnsi="仿宋_GB2312" w:eastAsia="仿宋_GB2312" w:cs="仿宋_GB2312"/>
          <w:b w:val="0"/>
          <w:bCs w:val="0"/>
          <w:kern w:val="0"/>
          <w:lang w:eastAsia="zh-CN"/>
        </w:rPr>
        <w:fldChar w:fldCharType="end"/>
      </w:r>
    </w:p>
    <w:p>
      <w:pPr>
        <w:pageBreakBefore w:val="0"/>
        <w:numPr>
          <w:ilvl w:val="0"/>
          <w:numId w:val="2"/>
        </w:numPr>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项目主要内容及实施情况</w:t>
      </w:r>
    </w:p>
    <w:p>
      <w:pPr>
        <w:pStyle w:val="2"/>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项目主要内容：按照自治区、地区安全生产工作部署，紧紧围绕社会稳定和长治久安总目标，始终坚持“安全第一、预防为主、综合治理”的方针，聚焦主责主业，加强监管、落实责任、强化宣传，切实做到社会稳定不出事，安全生产不添乱，区域农机安全形势持续稳定。开展安全生产教育、实施安全大检查、纠正违章、监理人员的行政执法培训等工作。</w:t>
      </w:r>
    </w:p>
    <w:p>
      <w:pPr>
        <w:pageBreakBefore w:val="0"/>
        <w:kinsoku/>
        <w:wordWrap/>
        <w:overflowPunct/>
        <w:topLinePunct w:val="0"/>
        <w:autoSpaceDE/>
        <w:autoSpaceDN/>
        <w:bidi w:val="0"/>
        <w:adjustRightInd/>
        <w:snapToGrid/>
        <w:spacing w:line="560" w:lineRule="exact"/>
        <w:ind w:firstLine="640" w:firstLineChars="200"/>
        <w:textAlignment w:val="auto"/>
      </w:pPr>
      <w:r>
        <w:rPr>
          <w:rFonts w:hint="eastAsia" w:ascii="仿宋_GB2312" w:hAnsi="仿宋_GB2312" w:eastAsia="仿宋_GB2312" w:cs="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kinsoku/>
        <w:wordWrap/>
        <w:overflowPunct/>
        <w:topLinePunct w:val="0"/>
        <w:autoSpaceDE/>
        <w:autoSpaceDN/>
        <w:bidi w:val="0"/>
        <w:adjustRightInd/>
        <w:snapToGrid/>
        <w:spacing w:line="560" w:lineRule="exact"/>
        <w:ind w:firstLine="579" w:firstLineChars="181"/>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rPr>
        <w:t>本项目总投</w:t>
      </w:r>
      <w:r>
        <w:rPr>
          <w:rFonts w:hint="eastAsia" w:ascii="仿宋_GB2312" w:hAnsi="仿宋_GB2312" w:eastAsia="仿宋_GB2312" w:cs="仿宋_GB2312"/>
          <w:sz w:val="32"/>
          <w:szCs w:val="32"/>
          <w:highlight w:val="none"/>
        </w:rPr>
        <w:t>资</w:t>
      </w:r>
      <w:r>
        <w:rPr>
          <w:rFonts w:hint="eastAsia" w:ascii="仿宋_GB2312" w:hAnsi="仿宋_GB2312" w:eastAsia="仿宋_GB2312" w:cs="仿宋_GB2312"/>
          <w:sz w:val="32"/>
          <w:szCs w:val="32"/>
          <w:highlight w:val="none"/>
          <w:lang w:val="en-US" w:eastAsia="zh-CN"/>
        </w:rPr>
        <w:t>10</w:t>
      </w:r>
      <w:r>
        <w:rPr>
          <w:rFonts w:hint="eastAsia" w:ascii="仿宋_GB2312" w:hAnsi="仿宋_GB2312" w:eastAsia="仿宋_GB2312" w:cs="仿宋_GB2312"/>
          <w:sz w:val="32"/>
          <w:szCs w:val="32"/>
          <w:highlight w:val="none"/>
        </w:rPr>
        <w:t>万元，其中：财政本级资金</w:t>
      </w:r>
      <w:r>
        <w:rPr>
          <w:rFonts w:hint="eastAsia" w:ascii="仿宋_GB2312" w:hAnsi="仿宋_GB2312" w:eastAsia="仿宋_GB2312" w:cs="仿宋_GB2312"/>
          <w:sz w:val="32"/>
          <w:szCs w:val="32"/>
          <w:highlight w:val="none"/>
          <w:lang w:val="en-US" w:eastAsia="zh-CN"/>
        </w:rPr>
        <w:t>10</w:t>
      </w:r>
      <w:r>
        <w:rPr>
          <w:rFonts w:hint="eastAsia" w:ascii="仿宋_GB2312" w:hAnsi="仿宋_GB2312" w:eastAsia="仿宋_GB2312" w:cs="仿宋_GB2312"/>
          <w:sz w:val="32"/>
          <w:szCs w:val="32"/>
          <w:highlight w:val="none"/>
        </w:rPr>
        <w:t>万元。项目实际支出</w:t>
      </w:r>
      <w:r>
        <w:rPr>
          <w:rFonts w:hint="eastAsia" w:ascii="仿宋_GB2312" w:hAnsi="仿宋_GB2312" w:eastAsia="仿宋_GB2312" w:cs="仿宋_GB2312"/>
          <w:sz w:val="32"/>
          <w:szCs w:val="32"/>
          <w:highlight w:val="none"/>
          <w:lang w:val="en-US" w:eastAsia="zh-CN"/>
        </w:rPr>
        <w:t>8.6701</w:t>
      </w:r>
      <w:r>
        <w:rPr>
          <w:rFonts w:hint="eastAsia" w:ascii="仿宋_GB2312" w:hAnsi="仿宋_GB2312" w:eastAsia="仿宋_GB2312" w:cs="仿宋_GB2312"/>
          <w:sz w:val="32"/>
          <w:szCs w:val="32"/>
          <w:highlight w:val="none"/>
        </w:rPr>
        <w:t>万元， 支出率为</w:t>
      </w:r>
      <w:r>
        <w:rPr>
          <w:rFonts w:hint="eastAsia" w:ascii="仿宋_GB2312" w:hAnsi="仿宋_GB2312" w:eastAsia="仿宋_GB2312" w:cs="仿宋_GB2312"/>
          <w:sz w:val="32"/>
          <w:szCs w:val="32"/>
          <w:highlight w:val="none"/>
          <w:lang w:val="en-US" w:eastAsia="zh-CN"/>
        </w:rPr>
        <w:t>86.7</w:t>
      </w:r>
      <w:r>
        <w:rPr>
          <w:rFonts w:hint="eastAsia" w:ascii="仿宋_GB2312" w:hAnsi="仿宋_GB2312" w:eastAsia="仿宋_GB2312" w:cs="仿宋_GB2312"/>
          <w:sz w:val="32"/>
          <w:szCs w:val="32"/>
          <w:highlight w:val="none"/>
        </w:rPr>
        <w:t>%。</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3、资金投入和使用情况</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20"/>
          <w:szCs w:val="20"/>
          <w:highlight w:val="none"/>
        </w:rPr>
      </w:pPr>
      <w:r>
        <w:rPr>
          <w:rFonts w:hint="eastAsia" w:ascii="仿宋_GB2312" w:hAnsi="仿宋_GB2312" w:eastAsia="仿宋_GB2312" w:cs="仿宋_GB2312"/>
          <w:sz w:val="32"/>
          <w:szCs w:val="32"/>
          <w:highlight w:val="none"/>
        </w:rPr>
        <w:t>（1）资金安排</w:t>
      </w:r>
    </w:p>
    <w:p>
      <w:pPr>
        <w:pageBreakBefore w:val="0"/>
        <w:kinsoku/>
        <w:wordWrap/>
        <w:overflowPunct/>
        <w:topLinePunct w:val="0"/>
        <w:autoSpaceDE/>
        <w:autoSpaceDN/>
        <w:bidi w:val="0"/>
        <w:adjustRightInd/>
        <w:snapToGrid/>
        <w:spacing w:line="560" w:lineRule="exac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highlight w:val="none"/>
        </w:rPr>
        <w:t>项目总投资</w:t>
      </w:r>
      <w:r>
        <w:rPr>
          <w:rFonts w:hint="eastAsia" w:ascii="仿宋_GB2312" w:hAnsi="仿宋_GB2312" w:eastAsia="仿宋_GB2312" w:cs="仿宋_GB2312"/>
          <w:sz w:val="32"/>
          <w:szCs w:val="32"/>
          <w:highlight w:val="none"/>
          <w:lang w:val="en-US" w:eastAsia="zh-CN"/>
        </w:rPr>
        <w:t>10</w:t>
      </w:r>
      <w:r>
        <w:rPr>
          <w:rFonts w:hint="eastAsia" w:ascii="仿宋_GB2312" w:hAnsi="仿宋_GB2312" w:eastAsia="仿宋_GB2312" w:cs="仿宋_GB2312"/>
          <w:sz w:val="32"/>
          <w:szCs w:val="32"/>
        </w:rPr>
        <w:t>万元，按照《农机安全生产监督检査</w:t>
      </w:r>
      <w:r>
        <w:rPr>
          <w:rFonts w:hint="eastAsia" w:ascii="仿宋_GB2312" w:hAnsi="仿宋_GB2312" w:eastAsia="仿宋_GB2312" w:cs="仿宋_GB2312"/>
          <w:sz w:val="32"/>
          <w:szCs w:val="32"/>
          <w:lang w:val="en-US" w:eastAsia="zh-CN"/>
        </w:rPr>
        <w:t>工作经费</w:t>
      </w:r>
      <w:r>
        <w:rPr>
          <w:rFonts w:hint="eastAsia" w:ascii="仿宋_GB2312" w:hAnsi="仿宋_GB2312" w:eastAsia="仿宋_GB2312" w:cs="仿宋_GB2312"/>
          <w:sz w:val="32"/>
          <w:szCs w:val="32"/>
        </w:rPr>
        <w:t>资金管理办法》及单位财务制度等相关规定，资金支出符合农机安全生产监督检査</w:t>
      </w:r>
      <w:r>
        <w:rPr>
          <w:rFonts w:hint="eastAsia" w:ascii="仿宋_GB2312" w:hAnsi="仿宋_GB2312" w:eastAsia="仿宋_GB2312" w:cs="仿宋_GB2312"/>
          <w:sz w:val="32"/>
          <w:szCs w:val="32"/>
          <w:lang w:val="en-US" w:eastAsia="zh-CN"/>
        </w:rPr>
        <w:t>工作</w:t>
      </w:r>
      <w:r>
        <w:rPr>
          <w:rFonts w:hint="eastAsia" w:ascii="仿宋_GB2312" w:hAnsi="仿宋_GB2312" w:eastAsia="仿宋_GB2312" w:cs="仿宋_GB2312"/>
          <w:sz w:val="32"/>
          <w:szCs w:val="32"/>
        </w:rPr>
        <w:t>专项资金费用范围，做到了专款专用。在项目资金拨付和使用过程中，为确保项目资金的安全性，提高项目资金使用效率，严格遵循农机安全生产监督检査</w:t>
      </w:r>
      <w:r>
        <w:rPr>
          <w:rFonts w:hint="eastAsia" w:ascii="仿宋_GB2312" w:hAnsi="仿宋_GB2312" w:eastAsia="仿宋_GB2312" w:cs="仿宋_GB2312"/>
          <w:sz w:val="32"/>
          <w:szCs w:val="32"/>
          <w:lang w:val="en-US" w:eastAsia="zh-CN"/>
        </w:rPr>
        <w:t>工作</w:t>
      </w:r>
      <w:r>
        <w:rPr>
          <w:rFonts w:hint="eastAsia" w:ascii="仿宋_GB2312" w:hAnsi="仿宋_GB2312" w:eastAsia="仿宋_GB2312" w:cs="仿宋_GB2312"/>
          <w:sz w:val="32"/>
          <w:szCs w:val="32"/>
        </w:rPr>
        <w:t>资金的拨付程序，认真审核项目实施各阶段的相关材料和手续，根据项目实施进展情况拨付资金。</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（2）预算资金来源及使用情况</w:t>
      </w:r>
      <w:bookmarkStart w:id="0" w:name="page10"/>
      <w:bookmarkEnd w:id="0"/>
    </w:p>
    <w:p>
      <w:pPr>
        <w:pStyle w:val="2"/>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hAnsi="仿宋_GB2312" w:eastAsia="仿宋_GB2312" w:cs="仿宋_GB2312"/>
          <w:b w:val="0"/>
          <w:bCs w:val="0"/>
          <w:kern w:val="2"/>
          <w:highlight w:val="none"/>
        </w:rPr>
      </w:pPr>
      <w:r>
        <w:rPr>
          <w:rFonts w:hint="eastAsia" w:ascii="仿宋_GB2312" w:hAnsi="仿宋_GB2312" w:eastAsia="仿宋_GB2312" w:cs="仿宋_GB2312"/>
          <w:b w:val="0"/>
          <w:bCs w:val="0"/>
          <w:kern w:val="2"/>
        </w:rPr>
        <w:t>项目预算资金来源于</w:t>
      </w:r>
      <w:r>
        <w:rPr>
          <w:rFonts w:hint="eastAsia" w:ascii="仿宋_GB2312" w:hAnsi="仿宋_GB2312" w:eastAsia="仿宋_GB2312" w:cs="仿宋_GB2312"/>
          <w:b w:val="0"/>
          <w:bCs w:val="0"/>
          <w:kern w:val="2"/>
          <w:lang w:eastAsia="zh-CN"/>
        </w:rPr>
        <w:t>相关</w:t>
      </w:r>
      <w:r>
        <w:rPr>
          <w:rFonts w:hint="eastAsia" w:ascii="仿宋_GB2312" w:hAnsi="仿宋_GB2312" w:eastAsia="仿宋_GB2312" w:cs="仿宋_GB2312"/>
          <w:b w:val="0"/>
          <w:bCs w:val="0"/>
          <w:kern w:val="2"/>
          <w:highlight w:val="none"/>
        </w:rPr>
        <w:t>文件中批复的资金，项目资金到位</w:t>
      </w:r>
      <w:r>
        <w:rPr>
          <w:rFonts w:hint="eastAsia" w:ascii="仿宋_GB2312" w:hAnsi="仿宋_GB2312" w:eastAsia="仿宋_GB2312" w:cs="仿宋_GB2312"/>
          <w:b w:val="0"/>
          <w:bCs w:val="0"/>
          <w:kern w:val="2"/>
          <w:highlight w:val="none"/>
          <w:lang w:val="en-US" w:eastAsia="zh-CN"/>
        </w:rPr>
        <w:t>10</w:t>
      </w:r>
      <w:r>
        <w:rPr>
          <w:rFonts w:hint="eastAsia" w:ascii="仿宋_GB2312" w:hAnsi="仿宋_GB2312" w:eastAsia="仿宋_GB2312" w:cs="仿宋_GB2312"/>
          <w:b w:val="0"/>
          <w:bCs w:val="0"/>
          <w:kern w:val="2"/>
          <w:highlight w:val="none"/>
        </w:rPr>
        <w:t>万元，用于支付项目实施进程中的各项费用。</w:t>
      </w:r>
    </w:p>
    <w:p>
      <w:pPr>
        <w:pageBreakBefore w:val="0"/>
        <w:kinsoku/>
        <w:wordWrap/>
        <w:overflowPunct/>
        <w:topLinePunct w:val="0"/>
        <w:autoSpaceDE/>
        <w:autoSpaceDN/>
        <w:bidi w:val="0"/>
        <w:adjustRightInd/>
        <w:snapToGrid/>
        <w:spacing w:line="560" w:lineRule="exact"/>
        <w:ind w:firstLine="641"/>
        <w:textAlignment w:val="auto"/>
        <w:rPr>
          <w:rFonts w:ascii="楷体_GB2312" w:hAnsi="楷体_GB2312" w:eastAsia="楷体_GB2312" w:cs="楷体_GB2312"/>
          <w:b/>
          <w:bCs/>
          <w:sz w:val="32"/>
          <w:szCs w:val="32"/>
          <w:highlight w:val="none"/>
        </w:rPr>
      </w:pPr>
      <w:r>
        <w:rPr>
          <w:rFonts w:hint="eastAsia" w:ascii="楷体_GB2312" w:hAnsi="楷体_GB2312" w:eastAsia="楷体_GB2312" w:cs="楷体_GB2312"/>
          <w:b/>
          <w:bCs/>
          <w:sz w:val="32"/>
          <w:szCs w:val="32"/>
          <w:highlight w:val="none"/>
        </w:rPr>
        <w:t>（二）项目绩效目标</w:t>
      </w:r>
    </w:p>
    <w:p>
      <w:pPr>
        <w:pageBreakBefore w:val="0"/>
        <w:kinsoku/>
        <w:wordWrap/>
        <w:overflowPunct/>
        <w:topLinePunct w:val="0"/>
        <w:autoSpaceDE/>
        <w:autoSpaceDN/>
        <w:bidi w:val="0"/>
        <w:adjustRightInd/>
        <w:snapToGrid/>
        <w:spacing w:line="560" w:lineRule="exact"/>
        <w:ind w:firstLine="641"/>
        <w:textAlignment w:val="auto"/>
        <w:rPr>
          <w:rFonts w:hint="eastAsia" w:eastAsia="仿宋_GB2312"/>
          <w:lang w:eastAsia="zh-CN"/>
        </w:rPr>
      </w:pPr>
      <w:r>
        <w:rPr>
          <w:rFonts w:hint="eastAsia" w:ascii="仿宋_GB2312" w:hAnsi="仿宋_GB2312" w:eastAsia="仿宋_GB2312" w:cs="仿宋_GB2312"/>
          <w:b/>
          <w:bCs/>
          <w:sz w:val="32"/>
          <w:szCs w:val="32"/>
        </w:rPr>
        <w:t>1、总体目标</w:t>
      </w:r>
      <w:r>
        <w:rPr>
          <w:rFonts w:hint="eastAsia" w:ascii="仿宋_GB2312" w:hAnsi="仿宋_GB2312" w:eastAsia="仿宋_GB2312" w:cs="仿宋_GB2312"/>
          <w:sz w:val="32"/>
          <w:szCs w:val="32"/>
          <w:lang w:eastAsia="zh-CN"/>
        </w:rPr>
        <w:t>：加大检查力度，预防和减少农机事故的发生，确保农业机械以良好的技术状态投入农业生产，为我区农业增效，农民增收提供安全保障。一是开展安全生产检查。</w:t>
      </w:r>
      <w:r>
        <w:rPr>
          <w:rFonts w:hint="eastAsia" w:ascii="仿宋_GB2312" w:hAnsi="仿宋_GB2312" w:eastAsia="仿宋_GB2312" w:cs="仿宋_GB2312"/>
          <w:sz w:val="32"/>
          <w:szCs w:val="32"/>
          <w:lang w:val="en-US" w:eastAsia="zh-CN"/>
        </w:rPr>
        <w:t>二是</w:t>
      </w:r>
      <w:r>
        <w:rPr>
          <w:rFonts w:hint="eastAsia" w:ascii="仿宋_GB2312" w:hAnsi="仿宋_GB2312" w:eastAsia="仿宋_GB2312" w:cs="仿宋_GB2312"/>
          <w:sz w:val="32"/>
          <w:szCs w:val="32"/>
          <w:lang w:eastAsia="zh-CN"/>
        </w:rPr>
        <w:t>组织开展县市农机安全监理人员执法培训。</w:t>
      </w:r>
      <w:r>
        <w:rPr>
          <w:rFonts w:hint="eastAsia" w:ascii="仿宋_GB2312" w:hAnsi="仿宋_GB2312" w:eastAsia="仿宋_GB2312" w:cs="仿宋_GB2312"/>
          <w:sz w:val="32"/>
          <w:szCs w:val="32"/>
          <w:lang w:val="en-US" w:eastAsia="zh-CN"/>
        </w:rPr>
        <w:t>三是</w:t>
      </w:r>
      <w:r>
        <w:rPr>
          <w:rFonts w:hint="eastAsia" w:ascii="仿宋_GB2312" w:hAnsi="仿宋_GB2312" w:eastAsia="仿宋_GB2312" w:cs="仿宋_GB2312"/>
          <w:sz w:val="32"/>
          <w:szCs w:val="32"/>
          <w:lang w:eastAsia="zh-CN"/>
        </w:rPr>
        <w:t>完成农业机械驾驶人员持证、农业机械上户率及检验。</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2、阶段性目标</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（1）前期准备：根据《农机安全生产监督检査</w:t>
      </w:r>
      <w:r>
        <w:rPr>
          <w:rFonts w:hint="eastAsia" w:ascii="仿宋_GB2312" w:hAnsi="仿宋_GB2312" w:eastAsia="仿宋_GB2312" w:cs="仿宋_GB2312"/>
          <w:sz w:val="32"/>
          <w:szCs w:val="32"/>
          <w:lang w:val="en-US" w:eastAsia="zh-CN"/>
        </w:rPr>
        <w:t>工作经费</w:t>
      </w:r>
      <w:r>
        <w:rPr>
          <w:rFonts w:hint="eastAsia" w:ascii="仿宋_GB2312" w:hAnsi="仿宋_GB2312" w:eastAsia="仿宋_GB2312" w:cs="仿宋_GB2312"/>
          <w:sz w:val="32"/>
          <w:szCs w:val="32"/>
        </w:rPr>
        <w:t>方案》，通过制定项目实施方案，经项目负责人审核通过后，有序开展后续工程。</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（2）组织实施：资金一到位，立即根据项目要求实施项目。项目责任人按照《农机安全生产监督检査</w:t>
      </w:r>
      <w:r>
        <w:rPr>
          <w:rFonts w:hint="eastAsia" w:ascii="仿宋_GB2312" w:hAnsi="仿宋_GB2312" w:eastAsia="仿宋_GB2312" w:cs="仿宋_GB2312"/>
          <w:sz w:val="32"/>
          <w:szCs w:val="32"/>
          <w:lang w:val="en-US" w:eastAsia="zh-CN"/>
        </w:rPr>
        <w:t>工作经费</w:t>
      </w:r>
      <w:r>
        <w:rPr>
          <w:rFonts w:hint="eastAsia" w:ascii="仿宋_GB2312" w:hAnsi="仿宋_GB2312" w:eastAsia="仿宋_GB2312" w:cs="仿宋_GB2312"/>
          <w:sz w:val="32"/>
          <w:szCs w:val="32"/>
        </w:rPr>
        <w:t>方案》要求逐一进行项目部署安排，提高项目质量及效率性。</w:t>
      </w:r>
    </w:p>
    <w:p>
      <w:pPr>
        <w:pageBreakBefore w:val="0"/>
        <w:kinsoku/>
        <w:wordWrap/>
        <w:overflowPunct/>
        <w:topLinePunct w:val="0"/>
        <w:autoSpaceDE/>
        <w:autoSpaceDN/>
        <w:bidi w:val="0"/>
        <w:adjustRightInd/>
        <w:snapToGrid/>
        <w:spacing w:line="560" w:lineRule="exact"/>
        <w:ind w:firstLine="641"/>
        <w:textAlignment w:val="auto"/>
        <w:rPr>
          <w:rFonts w:ascii="黑体" w:hAnsi="黑体" w:eastAsia="黑体"/>
          <w:b/>
          <w:bCs/>
          <w:sz w:val="32"/>
          <w:szCs w:val="32"/>
        </w:rPr>
      </w:pPr>
      <w:r>
        <w:rPr>
          <w:rFonts w:hint="eastAsia" w:ascii="黑体" w:hAnsi="黑体" w:eastAsia="黑体"/>
          <w:b/>
          <w:bCs/>
          <w:sz w:val="32"/>
          <w:szCs w:val="32"/>
        </w:rPr>
        <w:t>二、绩效评价工作开展情况</w:t>
      </w:r>
    </w:p>
    <w:p>
      <w:pPr>
        <w:pageBreakBefore w:val="0"/>
        <w:kinsoku/>
        <w:wordWrap/>
        <w:overflowPunct/>
        <w:topLinePunct w:val="0"/>
        <w:autoSpaceDE/>
        <w:autoSpaceDN/>
        <w:bidi w:val="0"/>
        <w:adjustRightInd/>
        <w:snapToGrid/>
        <w:spacing w:line="560" w:lineRule="exac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（一）绩效评价目的、对象和范围</w:t>
      </w:r>
    </w:p>
    <w:p>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1、绩效评价的目的</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过开展财政支出项目绩效评价，及时掌握项目进展、资金使用、制度建设和项目执行情况。加强了农机安全生产监督工作，进一步完善农机安全监管体系，努力提高监督执法水平，紧紧围绕社会稳定和长治久安总目标，加强监管、落实责任、强化宣传，切实做到社会稳定不出事，安全生产不添乱，区域农机安全形势持续稳定。</w:t>
      </w:r>
    </w:p>
    <w:p>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2、绩效评价的对象</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根据工作需要，优先选择我单位《</w:t>
      </w:r>
      <w:r>
        <w:rPr>
          <w:rFonts w:hint="eastAsia" w:ascii="仿宋_GB2312" w:hAnsi="仿宋_GB2312" w:eastAsia="仿宋_GB2312" w:cs="仿宋_GB2312"/>
          <w:sz w:val="32"/>
          <w:szCs w:val="32"/>
          <w:lang w:val="en-US" w:eastAsia="zh-CN"/>
        </w:rPr>
        <w:t>农机安全生产监督检查工作经费</w:t>
      </w:r>
      <w:r>
        <w:rPr>
          <w:rFonts w:hint="eastAsia" w:ascii="仿宋_GB2312" w:hAnsi="仿宋_GB2312" w:eastAsia="仿宋_GB2312" w:cs="仿宋_GB2312"/>
          <w:sz w:val="32"/>
          <w:szCs w:val="32"/>
        </w:rPr>
        <w:t>》，对此项目开展绩效评价。</w:t>
      </w:r>
    </w:p>
    <w:p>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3、绩效评价的范围</w:t>
      </w:r>
    </w:p>
    <w:p>
      <w:pPr>
        <w:pageBreakBefore w:val="0"/>
        <w:kinsoku/>
        <w:wordWrap/>
        <w:overflowPunct/>
        <w:topLinePunct w:val="0"/>
        <w:autoSpaceDE/>
        <w:autoSpaceDN/>
        <w:bidi w:val="0"/>
        <w:adjustRightInd/>
        <w:snapToGrid/>
        <w:spacing w:line="560" w:lineRule="exact"/>
        <w:ind w:firstLine="641"/>
        <w:textAlignment w:val="auto"/>
        <w:rPr>
          <w:rFonts w:ascii="仿宋_GB2312"/>
        </w:rPr>
      </w:pPr>
      <w:r>
        <w:rPr>
          <w:rFonts w:hint="eastAsia" w:ascii="仿宋_GB2312" w:hAnsi="仿宋_GB2312" w:eastAsia="仿宋_GB2312" w:cs="仿宋_GB2312"/>
          <w:sz w:val="32"/>
          <w:szCs w:val="32"/>
          <w:lang w:eastAsia="zh-CN"/>
        </w:rPr>
        <w:t>本次评价从项目决策（包括绩效目标、决策过程）、项目管理（包括项目资金、项目实施）、项目产出（包括项目产出数量、产出质量、产出时效和产出成本）项目效益四个维度进行评价，</w:t>
      </w: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b/>
          <w:bCs/>
          <w:sz w:val="32"/>
          <w:szCs w:val="32"/>
        </w:rPr>
        <w:t>（二）绩效评价原则、评价指标体系（详情见表1）、评价方法、评价标准。</w:t>
      </w:r>
    </w:p>
    <w:p>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1、绩效评价原则</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本次项目绩效评价遵循以下基本原则：</w:t>
      </w:r>
    </w:p>
    <w:p>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（1）科学公正。绩效评价应当运用科学合理的方法，按照规范的程序，对项目绩效进行客观、公正的反映。</w:t>
      </w:r>
    </w:p>
    <w:p>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（3）激励约束。绩效评价结果应与预算安排、政策调整、改进管理实质性挂钩，体现奖优罚劣和激励相容导向，有效要安排、低效要压减、无效要问责。</w:t>
      </w:r>
    </w:p>
    <w:p>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（4）公开透明。绩效评价结果应依法依规公开，并自觉接受社会监督。</w:t>
      </w:r>
    </w:p>
    <w:p>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2、评价指标体系</w:t>
      </w:r>
    </w:p>
    <w:p>
      <w:pPr>
        <w:pageBreakBefore w:val="0"/>
        <w:kinsoku/>
        <w:wordWrap/>
        <w:overflowPunct/>
        <w:topLinePunct w:val="0"/>
        <w:autoSpaceDE/>
        <w:autoSpaceDN/>
        <w:bidi w:val="0"/>
        <w:adjustRightInd/>
        <w:snapToGrid/>
        <w:spacing w:line="560" w:lineRule="exact"/>
        <w:ind w:firstLine="641"/>
        <w:textAlignment w:val="auto"/>
        <w:rPr>
          <w:rFonts w:ascii="宋体" w:hAnsi="宋体" w:cs="宋体"/>
          <w:color w:val="000000"/>
          <w:spacing w:val="17"/>
          <w:sz w:val="32"/>
          <w:szCs w:val="32"/>
        </w:rPr>
      </w:pPr>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w:t>
      </w:r>
      <w:r>
        <w:rPr>
          <w:rFonts w:hint="eastAsia" w:ascii="仿宋_GB2312" w:hAnsi="仿宋_GB2312" w:eastAsia="仿宋_GB2312" w:cs="仿宋_GB2312"/>
          <w:color w:val="000000"/>
          <w:spacing w:val="17"/>
          <w:sz w:val="32"/>
          <w:szCs w:val="32"/>
          <w:lang w:val="en-US" w:eastAsia="zh-CN"/>
        </w:rPr>
        <w:t>决策</w:t>
      </w:r>
      <w:r>
        <w:rPr>
          <w:rFonts w:hint="eastAsia" w:ascii="仿宋_GB2312" w:hAnsi="仿宋_GB2312" w:eastAsia="仿宋_GB2312" w:cs="仿宋_GB2312"/>
          <w:color w:val="000000"/>
          <w:spacing w:val="17"/>
          <w:sz w:val="32"/>
          <w:szCs w:val="32"/>
        </w:rPr>
        <w:t>、项目</w:t>
      </w:r>
      <w:r>
        <w:rPr>
          <w:rFonts w:hint="eastAsia" w:ascii="仿宋_GB2312" w:hAnsi="仿宋_GB2312" w:eastAsia="仿宋_GB2312" w:cs="仿宋_GB2312"/>
          <w:color w:val="000000"/>
          <w:spacing w:val="17"/>
          <w:sz w:val="32"/>
          <w:szCs w:val="32"/>
          <w:lang w:val="en-US" w:eastAsia="zh-CN"/>
        </w:rPr>
        <w:t>过程</w:t>
      </w:r>
      <w:r>
        <w:rPr>
          <w:rFonts w:hint="eastAsia" w:ascii="仿宋_GB2312" w:hAnsi="仿宋_GB2312" w:eastAsia="仿宋_GB2312" w:cs="仿宋_GB2312"/>
          <w:color w:val="000000"/>
          <w:spacing w:val="17"/>
          <w:sz w:val="32"/>
          <w:szCs w:val="32"/>
        </w:rPr>
        <w:t>、项目</w:t>
      </w:r>
      <w:r>
        <w:rPr>
          <w:rFonts w:hint="eastAsia" w:ascii="仿宋_GB2312" w:hAnsi="仿宋_GB2312" w:eastAsia="仿宋_GB2312" w:cs="仿宋_GB2312"/>
          <w:color w:val="000000"/>
          <w:spacing w:val="17"/>
          <w:sz w:val="32"/>
          <w:szCs w:val="32"/>
          <w:lang w:val="en-US" w:eastAsia="zh-CN"/>
        </w:rPr>
        <w:t>产出</w:t>
      </w:r>
      <w:r>
        <w:rPr>
          <w:rFonts w:hint="eastAsia" w:ascii="仿宋_GB2312" w:hAnsi="仿宋_GB2312" w:eastAsia="仿宋_GB2312" w:cs="仿宋_GB2312"/>
          <w:color w:val="000000"/>
          <w:spacing w:val="17"/>
          <w:sz w:val="32"/>
          <w:szCs w:val="32"/>
        </w:rPr>
        <w:t>、项目</w:t>
      </w:r>
      <w:r>
        <w:rPr>
          <w:rFonts w:hint="eastAsia" w:ascii="仿宋_GB2312" w:hAnsi="仿宋_GB2312" w:eastAsia="仿宋_GB2312" w:cs="仿宋_GB2312"/>
          <w:color w:val="000000"/>
          <w:spacing w:val="17"/>
          <w:sz w:val="32"/>
          <w:szCs w:val="32"/>
          <w:lang w:val="en-US" w:eastAsia="zh-CN"/>
        </w:rPr>
        <w:t>效益</w:t>
      </w:r>
      <w:r>
        <w:rPr>
          <w:rFonts w:hint="eastAsia" w:ascii="仿宋_GB2312" w:hAnsi="仿宋_GB2312" w:eastAsia="仿宋_GB2312" w:cs="仿宋_GB2312"/>
          <w:color w:val="000000"/>
          <w:spacing w:val="17"/>
          <w:sz w:val="32"/>
          <w:szCs w:val="32"/>
        </w:rPr>
        <w:t>多层次指标体系。</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w:t>
      </w:r>
      <w:r>
        <w:rPr>
          <w:rFonts w:hint="eastAsia" w:ascii="仿宋_GB2312" w:hAnsi="仿宋_GB2312" w:eastAsia="仿宋_GB2312" w:cs="仿宋_GB2312"/>
          <w:color w:val="000000"/>
          <w:spacing w:val="17"/>
          <w:sz w:val="32"/>
          <w:szCs w:val="32"/>
          <w:lang w:val="en-US" w:eastAsia="zh-CN"/>
        </w:rPr>
        <w:t>决策</w:t>
      </w:r>
      <w:r>
        <w:rPr>
          <w:rFonts w:hint="eastAsia" w:ascii="仿宋_GB2312" w:hAnsi="仿宋_GB2312" w:eastAsia="仿宋_GB2312" w:cs="仿宋_GB2312"/>
          <w:color w:val="000000"/>
          <w:spacing w:val="17"/>
          <w:sz w:val="32"/>
          <w:szCs w:val="32"/>
        </w:rPr>
        <w:t>权重</w:t>
      </w:r>
      <w:r>
        <w:rPr>
          <w:rFonts w:hint="eastAsia" w:ascii="仿宋_GB2312" w:hAnsi="仿宋_GB2312" w:eastAsia="仿宋_GB2312" w:cs="仿宋_GB2312"/>
          <w:color w:val="000000"/>
          <w:spacing w:val="17"/>
          <w:sz w:val="32"/>
          <w:szCs w:val="32"/>
          <w:highlight w:val="none"/>
        </w:rPr>
        <w:t>为</w:t>
      </w:r>
      <w:r>
        <w:rPr>
          <w:rFonts w:hint="eastAsia" w:ascii="仿宋_GB2312" w:hAnsi="仿宋_GB2312" w:eastAsia="仿宋_GB2312" w:cs="仿宋_GB2312"/>
          <w:color w:val="000000"/>
          <w:spacing w:val="17"/>
          <w:sz w:val="32"/>
          <w:szCs w:val="32"/>
          <w:highlight w:val="none"/>
          <w:lang w:val="en-US" w:eastAsia="zh-CN"/>
        </w:rPr>
        <w:t>5分</w:t>
      </w:r>
      <w:r>
        <w:rPr>
          <w:rFonts w:hint="eastAsia" w:ascii="仿宋_GB2312" w:hAnsi="仿宋_GB2312" w:eastAsia="仿宋_GB2312" w:cs="仿宋_GB2312"/>
          <w:color w:val="000000"/>
          <w:spacing w:val="17"/>
          <w:sz w:val="32"/>
          <w:szCs w:val="32"/>
          <w:highlight w:val="none"/>
        </w:rPr>
        <w:t>，项目</w:t>
      </w:r>
      <w:r>
        <w:rPr>
          <w:rFonts w:hint="eastAsia" w:ascii="仿宋_GB2312" w:hAnsi="仿宋_GB2312" w:eastAsia="仿宋_GB2312" w:cs="仿宋_GB2312"/>
          <w:color w:val="000000"/>
          <w:spacing w:val="17"/>
          <w:sz w:val="32"/>
          <w:szCs w:val="32"/>
          <w:lang w:val="en-US" w:eastAsia="zh-CN"/>
        </w:rPr>
        <w:t>过程</w:t>
      </w:r>
      <w:r>
        <w:rPr>
          <w:rFonts w:hint="eastAsia" w:ascii="仿宋_GB2312" w:hAnsi="仿宋_GB2312" w:eastAsia="仿宋_GB2312" w:cs="仿宋_GB2312"/>
          <w:color w:val="000000"/>
          <w:spacing w:val="17"/>
          <w:sz w:val="32"/>
          <w:szCs w:val="32"/>
          <w:highlight w:val="none"/>
        </w:rPr>
        <w:t>权重值占</w:t>
      </w:r>
      <w:r>
        <w:rPr>
          <w:rFonts w:hint="eastAsia" w:ascii="仿宋_GB2312" w:hAnsi="仿宋_GB2312" w:eastAsia="仿宋_GB2312" w:cs="仿宋_GB2312"/>
          <w:color w:val="000000"/>
          <w:spacing w:val="17"/>
          <w:sz w:val="32"/>
          <w:szCs w:val="32"/>
          <w:highlight w:val="none"/>
          <w:lang w:val="en-US" w:eastAsia="zh-CN"/>
        </w:rPr>
        <w:t>5分</w:t>
      </w:r>
      <w:r>
        <w:rPr>
          <w:rFonts w:hint="eastAsia" w:ascii="仿宋_GB2312" w:hAnsi="仿宋_GB2312" w:eastAsia="仿宋_GB2312" w:cs="仿宋_GB2312"/>
          <w:color w:val="000000"/>
          <w:spacing w:val="17"/>
          <w:sz w:val="32"/>
          <w:szCs w:val="32"/>
          <w:highlight w:val="none"/>
        </w:rPr>
        <w:t>，项目</w:t>
      </w:r>
      <w:r>
        <w:rPr>
          <w:rFonts w:hint="eastAsia" w:ascii="仿宋_GB2312" w:hAnsi="仿宋_GB2312" w:eastAsia="仿宋_GB2312" w:cs="仿宋_GB2312"/>
          <w:color w:val="000000"/>
          <w:spacing w:val="17"/>
          <w:sz w:val="32"/>
          <w:szCs w:val="32"/>
          <w:lang w:val="en-US" w:eastAsia="zh-CN"/>
        </w:rPr>
        <w:t>产出</w:t>
      </w:r>
      <w:r>
        <w:rPr>
          <w:rFonts w:hint="eastAsia" w:ascii="仿宋_GB2312" w:hAnsi="仿宋_GB2312" w:eastAsia="仿宋_GB2312" w:cs="仿宋_GB2312"/>
          <w:color w:val="000000"/>
          <w:spacing w:val="17"/>
          <w:sz w:val="32"/>
          <w:szCs w:val="32"/>
          <w:highlight w:val="none"/>
        </w:rPr>
        <w:t>权重值占</w:t>
      </w:r>
      <w:r>
        <w:rPr>
          <w:rFonts w:hint="eastAsia" w:ascii="仿宋_GB2312" w:hAnsi="仿宋_GB2312" w:eastAsia="仿宋_GB2312" w:cs="仿宋_GB2312"/>
          <w:color w:val="000000"/>
          <w:spacing w:val="17"/>
          <w:sz w:val="32"/>
          <w:szCs w:val="32"/>
          <w:highlight w:val="none"/>
          <w:lang w:val="en-US" w:eastAsia="zh-CN"/>
        </w:rPr>
        <w:t>50分</w:t>
      </w:r>
      <w:r>
        <w:rPr>
          <w:rFonts w:hint="eastAsia" w:ascii="仿宋_GB2312" w:hAnsi="仿宋_GB2312" w:eastAsia="仿宋_GB2312" w:cs="仿宋_GB2312"/>
          <w:color w:val="000000"/>
          <w:spacing w:val="17"/>
          <w:sz w:val="32"/>
          <w:szCs w:val="32"/>
          <w:highlight w:val="none"/>
        </w:rPr>
        <w:t>，项目</w:t>
      </w:r>
      <w:r>
        <w:rPr>
          <w:rFonts w:hint="eastAsia" w:ascii="仿宋_GB2312" w:hAnsi="仿宋_GB2312" w:eastAsia="仿宋_GB2312" w:cs="仿宋_GB2312"/>
          <w:color w:val="000000"/>
          <w:spacing w:val="17"/>
          <w:sz w:val="32"/>
          <w:szCs w:val="32"/>
          <w:lang w:val="en-US" w:eastAsia="zh-CN"/>
        </w:rPr>
        <w:t>效益</w:t>
      </w:r>
      <w:r>
        <w:rPr>
          <w:rFonts w:hint="eastAsia" w:ascii="仿宋_GB2312" w:hAnsi="仿宋_GB2312" w:eastAsia="仿宋_GB2312" w:cs="仿宋_GB2312"/>
          <w:color w:val="000000"/>
          <w:spacing w:val="17"/>
          <w:sz w:val="32"/>
          <w:szCs w:val="32"/>
          <w:highlight w:val="none"/>
        </w:rPr>
        <w:t>权重占</w:t>
      </w:r>
      <w:r>
        <w:rPr>
          <w:rFonts w:hint="eastAsia" w:ascii="仿宋_GB2312" w:hAnsi="仿宋_GB2312" w:eastAsia="仿宋_GB2312" w:cs="仿宋_GB2312"/>
          <w:color w:val="000000"/>
          <w:spacing w:val="17"/>
          <w:sz w:val="32"/>
          <w:szCs w:val="32"/>
          <w:highlight w:val="none"/>
          <w:lang w:val="en-US" w:eastAsia="zh-CN"/>
        </w:rPr>
        <w:t>40分</w:t>
      </w:r>
      <w:r>
        <w:rPr>
          <w:rFonts w:hint="eastAsia" w:ascii="仿宋_GB2312" w:hAnsi="仿宋_GB2312" w:eastAsia="仿宋_GB2312" w:cs="仿宋_GB2312"/>
          <w:color w:val="000000"/>
          <w:spacing w:val="17"/>
          <w:sz w:val="32"/>
          <w:szCs w:val="32"/>
          <w:highlight w:val="none"/>
        </w:rPr>
        <w:t>。</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pageBreakBefore w:val="0"/>
        <w:kinsoku/>
        <w:wordWrap/>
        <w:overflowPunct/>
        <w:topLinePunct w:val="0"/>
        <w:autoSpaceDE/>
        <w:autoSpaceDN/>
        <w:bidi w:val="0"/>
        <w:adjustRightInd/>
        <w:snapToGrid/>
        <w:spacing w:before="0" w:after="0" w:line="560" w:lineRule="exact"/>
        <w:ind w:firstLine="708" w:firstLineChars="200"/>
        <w:jc w:val="both"/>
        <w:textAlignment w:val="auto"/>
        <w:rPr>
          <w:rFonts w:ascii="仿宋_GB2312" w:hAnsi="仿宋_GB2312" w:eastAsia="仿宋_GB2312" w:cs="仿宋_GB2312"/>
          <w:b w:val="0"/>
          <w:bCs w:val="0"/>
          <w:color w:val="000000"/>
          <w:spacing w:val="17"/>
          <w:kern w:val="2"/>
        </w:rPr>
      </w:pPr>
      <w:r>
        <w:rPr>
          <w:rFonts w:hint="eastAsia" w:ascii="仿宋_GB2312" w:hAnsi="仿宋_GB2312" w:eastAsia="仿宋_GB2312" w:cs="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pageBreakBefore w:val="0"/>
        <w:widowControl w:val="0"/>
        <w:kinsoku/>
        <w:wordWrap/>
        <w:overflowPunct/>
        <w:topLinePunct w:val="0"/>
        <w:autoSpaceDE/>
        <w:autoSpaceDN/>
        <w:bidi w:val="0"/>
        <w:adjustRightInd/>
        <w:snapToGrid/>
        <w:spacing w:before="0" w:after="0" w:line="560" w:lineRule="exact"/>
        <w:ind w:firstLine="708" w:firstLineChars="200"/>
        <w:jc w:val="both"/>
        <w:textAlignment w:val="auto"/>
        <w:outlineLvl w:val="9"/>
        <w:rPr>
          <w:rFonts w:hint="eastAsia" w:ascii="仿宋_GB2312" w:hAnsi="仿宋_GB2312" w:eastAsia="仿宋_GB2312" w:cs="仿宋_GB2312"/>
          <w:b w:val="0"/>
          <w:bCs w:val="0"/>
          <w:color w:val="000000"/>
          <w:spacing w:val="17"/>
        </w:rPr>
      </w:pPr>
      <w:r>
        <w:rPr>
          <w:rFonts w:hint="eastAsia" w:ascii="仿宋_GB2312" w:hAnsi="仿宋_GB2312" w:eastAsia="仿宋_GB2312" w:cs="仿宋_GB2312"/>
          <w:b w:val="0"/>
          <w:bCs w:val="0"/>
          <w:color w:val="000000"/>
          <w:spacing w:val="17"/>
        </w:rPr>
        <w:t>具体评价指标体系详情见</w:t>
      </w:r>
      <w:r>
        <w:rPr>
          <w:rFonts w:hint="eastAsia" w:ascii="仿宋_GB2312" w:hAnsi="仿宋_GB2312" w:eastAsia="仿宋_GB2312" w:cs="仿宋_GB2312"/>
          <w:b w:val="0"/>
          <w:bCs w:val="0"/>
          <w:color w:val="000000"/>
          <w:spacing w:val="17"/>
          <w:lang w:val="en-US" w:eastAsia="zh-CN"/>
        </w:rPr>
        <w:t>附件</w:t>
      </w:r>
      <w:r>
        <w:rPr>
          <w:rFonts w:hint="eastAsia" w:ascii="仿宋_GB2312" w:hAnsi="仿宋_GB2312" w:eastAsia="仿宋_GB2312" w:cs="仿宋_GB2312"/>
          <w:b w:val="0"/>
          <w:bCs w:val="0"/>
          <w:color w:val="000000"/>
          <w:spacing w:val="17"/>
        </w:rPr>
        <w:t>1</w:t>
      </w:r>
    </w:p>
    <w:p>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3、绩效评价方法</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绩效评价从项目决策、项目过程、项目产出、项目效益四个维度进行评价。评价对象为项目目标实施情况，评价核心为资金的支出完成情况和项目的产出效益。</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（1）比较法</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通过对绩效目标与实施效果、历史与当期情况，综合分析绩效目标实现程度。对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最终验收情况与年度绩效目标对比、预算资金执行情况等相关因素进行比较。</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（2）因素分析法</w:t>
      </w:r>
    </w:p>
    <w:p>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通过综合分析影响绩效目标实现、实施效果的内外因素，评价绩效目标实现程度。通过对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的开展情况、项目产出数量、成本控制、资金拨付文件及自评报告等相关资料的收集和审核，综合分析各因素对绩效目标实现的影响。</w:t>
      </w:r>
    </w:p>
    <w:p>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hint="eastAsia" w:ascii="仿宋_GB2312" w:hAnsi="仿宋_GB2312" w:eastAsia="仿宋_GB2312" w:cs="仿宋_GB2312"/>
          <w:b/>
          <w:bCs/>
          <w:highlight w:val="none"/>
          <w:lang w:val="en-US" w:eastAsia="zh-CN"/>
        </w:rPr>
      </w:pPr>
      <w:r>
        <w:rPr>
          <w:rFonts w:hint="eastAsia" w:ascii="仿宋_GB2312" w:hAnsi="仿宋_GB2312" w:eastAsia="仿宋_GB2312" w:cs="仿宋_GB2312"/>
          <w:b/>
          <w:bCs/>
          <w:highlight w:val="none"/>
          <w:lang w:val="en-US" w:eastAsia="zh-CN"/>
        </w:rPr>
        <w:t>4、评价标准</w:t>
      </w:r>
    </w:p>
    <w:p>
      <w:pPr>
        <w:pageBreakBefore w:val="0"/>
        <w:kinsoku/>
        <w:wordWrap/>
        <w:overflowPunct/>
        <w:topLinePunct w:val="0"/>
        <w:autoSpaceDE/>
        <w:autoSpaceDN/>
        <w:bidi w:val="0"/>
        <w:adjustRightInd/>
        <w:snapToGrid/>
        <w:spacing w:line="560" w:lineRule="exact"/>
        <w:ind w:firstLine="641"/>
        <w:textAlignment w:val="auto"/>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绩效评价标准通常包括计划标准、行业标准、历史标准等，用于对绩效指标完成情况进行比较。本次评价主要采用了计划标准和</w:t>
      </w:r>
      <w:r>
        <w:rPr>
          <w:rFonts w:hint="eastAsia" w:ascii="仿宋_GB2312" w:hAnsi="仿宋_GB2312" w:eastAsia="仿宋_GB2312" w:cs="仿宋_GB2312"/>
          <w:color w:val="000000"/>
          <w:spacing w:val="17"/>
          <w:sz w:val="32"/>
          <w:szCs w:val="32"/>
          <w:lang w:val="en-US" w:eastAsia="zh-CN"/>
        </w:rPr>
        <w:t>历史</w:t>
      </w:r>
      <w:r>
        <w:rPr>
          <w:rFonts w:hint="default" w:ascii="仿宋_GB2312" w:hAnsi="仿宋_GB2312" w:eastAsia="仿宋_GB2312" w:cs="仿宋_GB2312"/>
          <w:color w:val="000000"/>
          <w:spacing w:val="17"/>
          <w:sz w:val="32"/>
          <w:szCs w:val="32"/>
          <w:lang w:val="en-US" w:eastAsia="zh-CN"/>
        </w:rPr>
        <w:t>标准。</w:t>
      </w:r>
    </w:p>
    <w:p>
      <w:pPr>
        <w:pageBreakBefore w:val="0"/>
        <w:kinsoku/>
        <w:wordWrap/>
        <w:overflowPunct/>
        <w:topLinePunct w:val="0"/>
        <w:autoSpaceDE/>
        <w:autoSpaceDN/>
        <w:bidi w:val="0"/>
        <w:adjustRightInd/>
        <w:snapToGrid/>
        <w:spacing w:line="560" w:lineRule="exact"/>
        <w:ind w:firstLine="641"/>
        <w:textAlignment w:val="auto"/>
        <w:rPr>
          <w:rFonts w:hint="eastAsia" w:ascii="楷体" w:hAnsi="楷体" w:eastAsia="楷体" w:cs="楷体"/>
          <w:b/>
          <w:bCs/>
          <w:color w:val="000000"/>
          <w:spacing w:val="17"/>
          <w:sz w:val="32"/>
          <w:szCs w:val="32"/>
          <w:lang w:val="en-US" w:eastAsia="zh-CN"/>
        </w:rPr>
      </w:pPr>
      <w:r>
        <w:rPr>
          <w:rFonts w:hint="eastAsia" w:ascii="楷体" w:hAnsi="楷体" w:eastAsia="楷体" w:cs="楷体"/>
          <w:b/>
          <w:bCs/>
          <w:color w:val="000000"/>
          <w:spacing w:val="17"/>
          <w:sz w:val="32"/>
          <w:szCs w:val="32"/>
          <w:lang w:val="en-US" w:eastAsia="zh-CN"/>
        </w:rPr>
        <w:t>(三）绩效评价过程</w:t>
      </w:r>
    </w:p>
    <w:p>
      <w:pPr>
        <w:pageBreakBefore w:val="0"/>
        <w:kinsoku/>
        <w:wordWrap/>
        <w:overflowPunct/>
        <w:topLinePunct w:val="0"/>
        <w:autoSpaceDE/>
        <w:autoSpaceDN/>
        <w:bidi w:val="0"/>
        <w:adjustRightInd/>
        <w:snapToGrid/>
        <w:spacing w:line="560" w:lineRule="exact"/>
        <w:ind w:firstLine="641"/>
        <w:textAlignment w:val="auto"/>
        <w:rPr>
          <w:rFonts w:hint="default"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前期准备。成立了以苗永江为组长，杨丽红为副组长，办公室、财务室为成员的领导小组，召开2020年财政专项资金项目绩效评价工作会议，明确了绩效评价工作的具体事项及各自责任和任务。</w:t>
      </w:r>
    </w:p>
    <w:p>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组织实施。严格按照有关文件要求，对项目前期工作进行了全方位自查和自评打分，最后上报领导小组办公室进行汇总，再报送财政局。通过绩效自评，进一步规范财政资金规划编管理，强化部门责任意识，提高财政资金使用效益。</w:t>
      </w:r>
    </w:p>
    <w:p>
      <w:pPr>
        <w:pStyle w:val="2"/>
        <w:pageBreakBefore w:val="0"/>
        <w:kinsoku/>
        <w:wordWrap/>
        <w:overflowPunct/>
        <w:topLinePunct w:val="0"/>
        <w:autoSpaceDE/>
        <w:autoSpaceDN/>
        <w:bidi w:val="0"/>
        <w:adjustRightInd/>
        <w:snapToGrid/>
        <w:spacing w:before="0" w:after="0" w:line="560" w:lineRule="exact"/>
        <w:ind w:firstLine="708" w:firstLineChars="200"/>
        <w:jc w:val="left"/>
        <w:textAlignment w:val="auto"/>
      </w:pPr>
      <w:r>
        <w:rPr>
          <w:rFonts w:hint="eastAsia" w:ascii="仿宋_GB2312" w:hAnsi="仿宋_GB2312" w:eastAsia="仿宋_GB2312" w:cs="仿宋_GB2312"/>
          <w:b w:val="0"/>
          <w:bCs w:val="0"/>
          <w:color w:val="000000"/>
          <w:spacing w:val="17"/>
          <w:kern w:val="2"/>
          <w:sz w:val="32"/>
          <w:szCs w:val="32"/>
          <w:lang w:val="en-US" w:eastAsia="zh-CN" w:bidi="ar-SA"/>
        </w:rPr>
        <w:t>分析评价。我单位项目前期工作经费编制经费的资金管理和使用，严格执行“收支两条线”管理，按照预算资金管理办法，根据项目进度，及时申拨专项资金。通过相关政策文件、基础数据、资金使用效益等多种信息进行分析评价，撰写塔城地区农业综合行政执法支队2020年度项目支出绩效自评报告。</w:t>
      </w:r>
    </w:p>
    <w:p>
      <w:pPr>
        <w:pageBreakBefore w:val="0"/>
        <w:numPr>
          <w:ilvl w:val="0"/>
          <w:numId w:val="3"/>
        </w:numPr>
        <w:kinsoku/>
        <w:wordWrap/>
        <w:overflowPunct/>
        <w:topLinePunct w:val="0"/>
        <w:autoSpaceDE/>
        <w:autoSpaceDN/>
        <w:bidi w:val="0"/>
        <w:adjustRightInd/>
        <w:snapToGrid/>
        <w:spacing w:line="560" w:lineRule="exact"/>
        <w:ind w:firstLine="641"/>
        <w:textAlignment w:val="auto"/>
        <w:rPr>
          <w:rFonts w:ascii="黑体" w:hAnsi="黑体" w:eastAsia="黑体" w:cs="黑体"/>
          <w:b/>
          <w:bCs/>
          <w:sz w:val="32"/>
          <w:szCs w:val="32"/>
        </w:rPr>
      </w:pPr>
      <w:r>
        <w:rPr>
          <w:rFonts w:hint="eastAsia" w:ascii="黑体" w:hAnsi="黑体" w:eastAsia="黑体" w:cs="黑体"/>
          <w:b/>
          <w:bCs/>
          <w:sz w:val="32"/>
          <w:szCs w:val="32"/>
        </w:rPr>
        <w:t>综合评价情况及评价结论（附相关评分表）</w:t>
      </w:r>
    </w:p>
    <w:p>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对</w:t>
      </w:r>
      <w:r>
        <w:rPr>
          <w:rFonts w:hint="eastAsia" w:ascii="仿宋_GB2312" w:hAnsi="仿宋_GB2312" w:eastAsia="仿宋_GB2312" w:cs="仿宋_GB2312"/>
          <w:b w:val="0"/>
          <w:bCs w:val="0"/>
          <w:highlight w:val="none"/>
          <w:lang w:val="en-US" w:eastAsia="zh-CN"/>
        </w:rPr>
        <w:t>农机安全生产监督检査工作经费</w:t>
      </w:r>
      <w:r>
        <w:rPr>
          <w:rFonts w:hint="eastAsia" w:ascii="仿宋_GB2312" w:hAnsi="仿宋_GB2312" w:eastAsia="仿宋_GB2312" w:cs="仿宋_GB2312"/>
          <w:b w:val="0"/>
          <w:bCs w:val="0"/>
          <w:highlight w:val="none"/>
        </w:rPr>
        <w:t xml:space="preserve">项目进行客观评价，最终评分结果：总得分为 </w:t>
      </w:r>
      <w:r>
        <w:rPr>
          <w:rFonts w:hint="eastAsia" w:ascii="仿宋_GB2312" w:hAnsi="仿宋_GB2312" w:eastAsia="仿宋_GB2312" w:cs="仿宋_GB2312"/>
          <w:b w:val="0"/>
          <w:bCs w:val="0"/>
          <w:highlight w:val="none"/>
          <w:lang w:val="en-US" w:eastAsia="zh-CN"/>
        </w:rPr>
        <w:t>96.252</w:t>
      </w:r>
      <w:r>
        <w:rPr>
          <w:rFonts w:hint="eastAsia" w:ascii="仿宋_GB2312" w:hAnsi="仿宋_GB2312" w:eastAsia="仿宋_GB2312" w:cs="仿宋_GB2312"/>
          <w:b w:val="0"/>
          <w:bCs w:val="0"/>
          <w:highlight w:val="none"/>
        </w:rPr>
        <w:t>分，属于“优”。其中，项目决策类指标权重为5分，得分为</w:t>
      </w:r>
      <w:r>
        <w:rPr>
          <w:rFonts w:hint="eastAsia" w:ascii="仿宋_GB2312" w:hAnsi="仿宋_GB2312" w:eastAsia="仿宋_GB2312" w:cs="仿宋_GB2312"/>
          <w:b w:val="0"/>
          <w:bCs w:val="0"/>
          <w:highlight w:val="none"/>
          <w:lang w:val="en-US" w:eastAsia="zh-CN"/>
        </w:rPr>
        <w:t>5</w:t>
      </w:r>
      <w:r>
        <w:rPr>
          <w:rFonts w:hint="eastAsia" w:ascii="仿宋_GB2312" w:hAnsi="仿宋_GB2312" w:eastAsia="仿宋_GB2312" w:cs="仿宋_GB2312"/>
          <w:b w:val="0"/>
          <w:bCs w:val="0"/>
          <w:highlight w:val="none"/>
        </w:rPr>
        <w:t>分，得分率为 100%。项目过程类指标权重为5分，得分为</w:t>
      </w:r>
      <w:r>
        <w:rPr>
          <w:rFonts w:hint="eastAsia" w:ascii="仿宋_GB2312" w:hAnsi="仿宋_GB2312" w:eastAsia="仿宋_GB2312" w:cs="仿宋_GB2312"/>
          <w:b w:val="0"/>
          <w:bCs w:val="0"/>
          <w:highlight w:val="none"/>
          <w:lang w:val="en-US" w:eastAsia="zh-CN"/>
        </w:rPr>
        <w:t>4.867</w:t>
      </w:r>
      <w:r>
        <w:rPr>
          <w:rFonts w:hint="eastAsia" w:ascii="仿宋_GB2312" w:hAnsi="仿宋_GB2312" w:eastAsia="仿宋_GB2312" w:cs="仿宋_GB2312"/>
          <w:b w:val="0"/>
          <w:bCs w:val="0"/>
          <w:highlight w:val="none"/>
        </w:rPr>
        <w:t xml:space="preserve">分，得分率为 </w:t>
      </w:r>
      <w:r>
        <w:rPr>
          <w:rFonts w:hint="eastAsia" w:ascii="仿宋_GB2312" w:hAnsi="仿宋_GB2312" w:eastAsia="仿宋_GB2312" w:cs="仿宋_GB2312"/>
          <w:b w:val="0"/>
          <w:bCs w:val="0"/>
          <w:highlight w:val="none"/>
          <w:lang w:val="en-US" w:eastAsia="zh-CN"/>
        </w:rPr>
        <w:t>97.34</w:t>
      </w:r>
      <w:r>
        <w:rPr>
          <w:rFonts w:hint="eastAsia" w:ascii="仿宋_GB2312" w:hAnsi="仿宋_GB2312" w:eastAsia="仿宋_GB2312" w:cs="仿宋_GB2312"/>
          <w:b w:val="0"/>
          <w:bCs w:val="0"/>
          <w:highlight w:val="none"/>
        </w:rPr>
        <w:t>%。项目产出类指标权重为</w:t>
      </w:r>
      <w:r>
        <w:rPr>
          <w:rFonts w:hint="eastAsia" w:ascii="仿宋_GB2312" w:hAnsi="仿宋_GB2312" w:eastAsia="仿宋_GB2312" w:cs="仿宋_GB2312"/>
          <w:b w:val="0"/>
          <w:bCs w:val="0"/>
          <w:highlight w:val="none"/>
          <w:lang w:val="en-US" w:eastAsia="zh-CN"/>
        </w:rPr>
        <w:t>50</w:t>
      </w:r>
      <w:r>
        <w:rPr>
          <w:rFonts w:hint="eastAsia" w:ascii="仿宋_GB2312" w:hAnsi="仿宋_GB2312" w:eastAsia="仿宋_GB2312" w:cs="仿宋_GB2312"/>
          <w:b w:val="0"/>
          <w:bCs w:val="0"/>
          <w:highlight w:val="none"/>
        </w:rPr>
        <w:t>分，得分为</w:t>
      </w:r>
      <w:r>
        <w:rPr>
          <w:rFonts w:hint="eastAsia" w:ascii="仿宋_GB2312" w:hAnsi="仿宋_GB2312" w:eastAsia="仿宋_GB2312" w:cs="仿宋_GB2312"/>
          <w:b w:val="0"/>
          <w:bCs w:val="0"/>
          <w:highlight w:val="none"/>
          <w:lang w:val="en-US" w:eastAsia="zh-CN"/>
        </w:rPr>
        <w:t>46.385</w:t>
      </w:r>
      <w:r>
        <w:rPr>
          <w:rFonts w:hint="eastAsia" w:ascii="仿宋_GB2312" w:hAnsi="仿宋_GB2312" w:eastAsia="仿宋_GB2312" w:cs="仿宋_GB2312"/>
          <w:b w:val="0"/>
          <w:bCs w:val="0"/>
          <w:highlight w:val="none"/>
        </w:rPr>
        <w:t xml:space="preserve">分，得分率为 </w:t>
      </w:r>
      <w:r>
        <w:rPr>
          <w:rFonts w:hint="eastAsia" w:ascii="仿宋_GB2312" w:hAnsi="仿宋_GB2312" w:eastAsia="仿宋_GB2312" w:cs="仿宋_GB2312"/>
          <w:b w:val="0"/>
          <w:bCs w:val="0"/>
          <w:highlight w:val="none"/>
          <w:lang w:val="en-US" w:eastAsia="zh-CN"/>
        </w:rPr>
        <w:t>92.77</w:t>
      </w:r>
      <w:r>
        <w:rPr>
          <w:rFonts w:hint="eastAsia" w:ascii="仿宋_GB2312" w:hAnsi="仿宋_GB2312" w:eastAsia="仿宋_GB2312" w:cs="仿宋_GB2312"/>
          <w:b w:val="0"/>
          <w:bCs w:val="0"/>
          <w:highlight w:val="none"/>
        </w:rPr>
        <w:t>%。项目效益类指标权重为</w:t>
      </w:r>
      <w:r>
        <w:rPr>
          <w:rFonts w:hint="eastAsia" w:ascii="仿宋_GB2312" w:hAnsi="仿宋_GB2312" w:eastAsia="仿宋_GB2312" w:cs="仿宋_GB2312"/>
          <w:b w:val="0"/>
          <w:bCs w:val="0"/>
          <w:highlight w:val="none"/>
          <w:lang w:val="en-US" w:eastAsia="zh-CN"/>
        </w:rPr>
        <w:t>40</w:t>
      </w:r>
      <w:r>
        <w:rPr>
          <w:rFonts w:hint="eastAsia" w:ascii="仿宋_GB2312" w:hAnsi="仿宋_GB2312" w:eastAsia="仿宋_GB2312" w:cs="仿宋_GB2312"/>
          <w:b w:val="0"/>
          <w:bCs w:val="0"/>
          <w:highlight w:val="none"/>
        </w:rPr>
        <w:t>分，得分为</w:t>
      </w:r>
      <w:r>
        <w:rPr>
          <w:rFonts w:hint="eastAsia" w:ascii="仿宋_GB2312" w:hAnsi="仿宋_GB2312" w:eastAsia="仿宋_GB2312" w:cs="仿宋_GB2312"/>
          <w:b w:val="0"/>
          <w:bCs w:val="0"/>
          <w:highlight w:val="none"/>
          <w:lang w:val="en-US" w:eastAsia="zh-CN"/>
        </w:rPr>
        <w:t>40</w:t>
      </w:r>
      <w:r>
        <w:rPr>
          <w:rFonts w:hint="eastAsia" w:ascii="仿宋_GB2312" w:hAnsi="仿宋_GB2312" w:eastAsia="仿宋_GB2312" w:cs="仿宋_GB2312"/>
          <w:b w:val="0"/>
          <w:bCs w:val="0"/>
          <w:highlight w:val="none"/>
        </w:rPr>
        <w:t xml:space="preserve">分，得分率为 </w:t>
      </w:r>
      <w:r>
        <w:rPr>
          <w:rFonts w:hint="eastAsia" w:ascii="仿宋_GB2312" w:hAnsi="仿宋_GB2312" w:eastAsia="仿宋_GB2312" w:cs="仿宋_GB2312"/>
          <w:b w:val="0"/>
          <w:bCs w:val="0"/>
          <w:highlight w:val="none"/>
          <w:lang w:val="en-US" w:eastAsia="zh-CN"/>
        </w:rPr>
        <w:t>100</w:t>
      </w:r>
      <w:r>
        <w:rPr>
          <w:rFonts w:hint="eastAsia" w:ascii="仿宋_GB2312" w:hAnsi="仿宋_GB2312" w:eastAsia="仿宋_GB2312" w:cs="仿宋_GB2312"/>
          <w:b w:val="0"/>
          <w:bCs w:val="0"/>
          <w:highlight w:val="none"/>
        </w:rPr>
        <w:t>%。</w:t>
      </w:r>
    </w:p>
    <w:p>
      <w:pPr>
        <w:rPr>
          <w:rFonts w:hint="eastAsia" w:ascii="仿宋_GB2312" w:hAnsi="仿宋_GB2312" w:eastAsia="仿宋_GB2312" w:cs="仿宋_GB2312"/>
          <w:b w:val="0"/>
          <w:bCs w:val="0"/>
          <w:highlight w:val="none"/>
        </w:rPr>
      </w:pPr>
    </w:p>
    <w:p>
      <w:pPr>
        <w:rPr>
          <w:rFonts w:hint="eastAsia" w:ascii="仿宋_GB2312" w:hAnsi="仿宋_GB2312" w:eastAsia="仿宋_GB2312" w:cs="仿宋_GB2312"/>
          <w:b w:val="0"/>
          <w:bCs w:val="0"/>
          <w:highlight w:val="none"/>
        </w:rPr>
      </w:pPr>
    </w:p>
    <w:p>
      <w:pPr>
        <w:pStyle w:val="2"/>
      </w:pPr>
    </w:p>
    <w:p>
      <w:pPr>
        <w:pStyle w:val="2"/>
        <w:pageBreakBefore w:val="0"/>
        <w:kinsoku/>
        <w:wordWrap/>
        <w:overflowPunct/>
        <w:topLinePunct w:val="0"/>
        <w:autoSpaceDE/>
        <w:autoSpaceDN/>
        <w:bidi w:val="0"/>
        <w:adjustRightInd/>
        <w:snapToGrid/>
        <w:spacing w:before="0" w:after="0" w:line="560" w:lineRule="exact"/>
        <w:jc w:val="both"/>
        <w:textAlignment w:val="auto"/>
        <w:rPr>
          <w:rFonts w:hint="eastAsia" w:ascii="仿宋_GB2312" w:hAnsi="仿宋_GB2312" w:eastAsia="仿宋_GB2312" w:cs="仿宋_GB2312"/>
          <w:sz w:val="30"/>
          <w:szCs w:val="30"/>
        </w:rPr>
      </w:pPr>
    </w:p>
    <w:p>
      <w:pPr>
        <w:pStyle w:val="2"/>
        <w:pageBreakBefore w:val="0"/>
        <w:kinsoku/>
        <w:wordWrap/>
        <w:overflowPunct/>
        <w:topLinePunct w:val="0"/>
        <w:autoSpaceDE/>
        <w:autoSpaceDN/>
        <w:bidi w:val="0"/>
        <w:adjustRightInd/>
        <w:snapToGrid/>
        <w:spacing w:before="0" w:after="0" w:line="560" w:lineRule="exact"/>
        <w:ind w:firstLine="3614" w:firstLineChars="1200"/>
        <w:jc w:val="left"/>
        <w:textAlignment w:val="auto"/>
        <w:rPr>
          <w:rFonts w:ascii="仿宋_GB2312" w:hAnsi="仿宋_GB2312" w:eastAsia="仿宋_GB2312" w:cs="仿宋_GB2312"/>
          <w:sz w:val="30"/>
          <w:szCs w:val="30"/>
        </w:rPr>
      </w:pPr>
      <w:r>
        <w:rPr>
          <w:rFonts w:hint="eastAsia" w:ascii="仿宋_GB2312" w:hAnsi="仿宋_GB2312" w:eastAsia="仿宋_GB2312" w:cs="仿宋_GB2312"/>
          <w:sz w:val="30"/>
          <w:szCs w:val="30"/>
        </w:rPr>
        <w:t>表</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综合评分表</w:t>
      </w:r>
    </w:p>
    <w:p>
      <w:pPr>
        <w:pageBreakBefore w:val="0"/>
        <w:kinsoku/>
        <w:wordWrap/>
        <w:overflowPunct/>
        <w:topLinePunct w:val="0"/>
        <w:autoSpaceDE/>
        <w:autoSpaceDN/>
        <w:bidi w:val="0"/>
        <w:adjustRightInd/>
        <w:snapToGrid/>
        <w:spacing w:line="560" w:lineRule="exact"/>
        <w:textAlignment w:val="auto"/>
      </w:pPr>
    </w:p>
    <w:p>
      <w:pPr>
        <w:pageBreakBefore w:val="0"/>
        <w:kinsoku/>
        <w:wordWrap/>
        <w:overflowPunct/>
        <w:topLinePunct w:val="0"/>
        <w:autoSpaceDE/>
        <w:autoSpaceDN/>
        <w:bidi w:val="0"/>
        <w:adjustRightInd/>
        <w:snapToGrid/>
        <w:spacing w:line="560" w:lineRule="exact"/>
        <w:textAlignment w:val="auto"/>
      </w:pPr>
    </w:p>
    <w:tbl>
      <w:tblPr>
        <w:tblStyle w:val="19"/>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990"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1283"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1707"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727"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104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目标值</w:t>
            </w:r>
          </w:p>
        </w:tc>
        <w:tc>
          <w:tcPr>
            <w:tcW w:w="92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业绩值</w:t>
            </w:r>
          </w:p>
        </w:tc>
        <w:tc>
          <w:tcPr>
            <w:tcW w:w="1215"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得分率</w:t>
            </w:r>
          </w:p>
        </w:tc>
        <w:tc>
          <w:tcPr>
            <w:tcW w:w="960"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决策　</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kern w:val="0"/>
                <w:sz w:val="18"/>
                <w:szCs w:val="18"/>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项目立项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立项依据</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充分性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立项程序</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规范性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绩效目标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绩效目标</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合理性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绩效指标</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明确性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资金投入</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预算编制</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科学性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资金分配</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合理性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过程</w:t>
            </w:r>
          </w:p>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kern w:val="0"/>
                <w:sz w:val="18"/>
                <w:szCs w:val="18"/>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资金到位率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cs="宋体"/>
                <w:color w:val="000000"/>
                <w:kern w:val="0"/>
                <w:sz w:val="18"/>
                <w:szCs w:val="18"/>
                <w:lang w:val="en-US"/>
              </w:rPr>
            </w:pPr>
            <w:r>
              <w:rPr>
                <w:rFonts w:hint="eastAsia" w:ascii="宋体" w:hAnsi="宋体" w:cs="宋体"/>
                <w:color w:val="000000"/>
                <w:kern w:val="0"/>
                <w:sz w:val="18"/>
                <w:szCs w:val="18"/>
                <w:lang w:val="en-US" w:eastAsia="zh-CN"/>
              </w:rPr>
              <w:t>0.867</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86.7%</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0.867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资金使用</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合规性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组织实施</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管理制度</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健全性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制度执行</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有效性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kern w:val="0"/>
                <w:sz w:val="18"/>
                <w:szCs w:val="18"/>
              </w:rPr>
              <w:t>50分</w:t>
            </w: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产出数量</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实际完成率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15</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产出质量</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质量达标率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98.35%</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9.835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产出时效</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完成及时性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15</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11.55</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77%</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11.55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产出成本</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成本节约率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效益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40分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项目效益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实施效益</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（社会效益、经济效益、可持续效益）</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30</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30</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30</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满意度</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r>
    </w:tbl>
    <w:p>
      <w:pPr>
        <w:pageBreakBefore w:val="0"/>
        <w:kinsoku/>
        <w:wordWrap/>
        <w:overflowPunct/>
        <w:topLinePunct w:val="0"/>
        <w:autoSpaceDE/>
        <w:autoSpaceDN/>
        <w:bidi w:val="0"/>
        <w:adjustRightInd/>
        <w:snapToGrid/>
        <w:spacing w:line="560" w:lineRule="exact"/>
        <w:ind w:firstLine="321" w:firstLineChars="100"/>
        <w:textAlignment w:val="auto"/>
        <w:rPr>
          <w:rFonts w:ascii="黑体" w:hAnsi="黑体" w:eastAsia="黑体"/>
          <w:b/>
          <w:bCs/>
          <w:sz w:val="32"/>
          <w:szCs w:val="32"/>
        </w:rPr>
      </w:pPr>
      <w:r>
        <w:rPr>
          <w:rFonts w:hint="eastAsia" w:ascii="黑体" w:hAnsi="黑体" w:eastAsia="黑体"/>
          <w:b/>
          <w:bCs/>
          <w:sz w:val="32"/>
          <w:szCs w:val="32"/>
        </w:rPr>
        <w:t>四、绩效评价指标分析</w:t>
      </w:r>
    </w:p>
    <w:p>
      <w:pPr>
        <w:pStyle w:val="2"/>
        <w:pageBreakBefore w:val="0"/>
        <w:kinsoku/>
        <w:wordWrap/>
        <w:overflowPunct/>
        <w:topLinePunct w:val="0"/>
        <w:autoSpaceDE/>
        <w:autoSpaceDN/>
        <w:bidi w:val="0"/>
        <w:adjustRightInd/>
        <w:snapToGrid/>
        <w:spacing w:before="0" w:after="0" w:line="560" w:lineRule="exact"/>
        <w:ind w:firstLine="321" w:firstLineChars="100"/>
        <w:jc w:val="both"/>
        <w:textAlignment w:val="auto"/>
        <w:rPr>
          <w:rFonts w:hint="eastAsia" w:ascii="楷体_GB2312" w:hAnsi="楷体_GB2312" w:eastAsia="楷体_GB2312" w:cs="楷体_GB2312"/>
        </w:rPr>
      </w:pPr>
      <w:r>
        <w:rPr>
          <w:rFonts w:hint="eastAsia" w:ascii="楷体_GB2312" w:hAnsi="楷体_GB2312" w:eastAsia="楷体_GB2312" w:cs="楷体_GB2312"/>
        </w:rPr>
        <w:t>（一）项目决策情况</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立项与我单位部门职责范围相符，属于部门履职所需；项目属于公共财政支持范围，符合中央、地方事权支出责任划分原则：项目按照规定的程序申请设立；财政下达文件，拨付资金，我单位规范项目资金管理，按照规定支付项目资金，与预算确定的项目投资额或资金量相匹配，预算项目资金10万元，实际拨付10万元，年终支出8.6701万元。支付明细：1、办公费支出18500元；2、培训费支出10000元；3、公务用车运行费支出1346元；4、其他商品和服务支出12000元；5、印刷费支出11000元；6、差旅费支出9775元；7、其他交通费支出1500元；8、劳务费支出22580元。决策项目分值:5分，我单位经过自评得分：5分。</w:t>
      </w:r>
    </w:p>
    <w:p>
      <w:pPr>
        <w:pStyle w:val="2"/>
        <w:pageBreakBefore w:val="0"/>
        <w:numPr>
          <w:ilvl w:val="0"/>
          <w:numId w:val="4"/>
        </w:numPr>
        <w:kinsoku/>
        <w:wordWrap/>
        <w:overflowPunct/>
        <w:topLinePunct w:val="0"/>
        <w:autoSpaceDE/>
        <w:autoSpaceDN/>
        <w:bidi w:val="0"/>
        <w:adjustRightInd/>
        <w:snapToGrid/>
        <w:spacing w:before="0" w:after="0" w:line="560" w:lineRule="exact"/>
        <w:ind w:firstLine="321" w:firstLineChars="100"/>
        <w:jc w:val="both"/>
        <w:textAlignment w:val="auto"/>
      </w:pPr>
      <w:r>
        <w:rPr>
          <w:rFonts w:hint="eastAsia" w:ascii="楷体_GB2312" w:hAnsi="楷体_GB2312" w:eastAsia="楷体_GB2312" w:cs="楷体_GB2312"/>
        </w:rPr>
        <w:t>项目过程情况</w:t>
      </w:r>
    </w:p>
    <w:p>
      <w:pPr>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1.项目管理情况</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（1）资金到位率：项目资金采取农业综合行政执法支队、财政局联合监管的办法。档案管理完整规范，数据全部实行信息化处理。资金到位率=100%,实际到位资金：10万元。 预算资金：10万元。</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（2）资金执行率：资金执行率=86.7%</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实际到位资金：10万元。 执行资金：8.6701万元。</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（3）资金管理情况：</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符合国家财经法规和财务管理制度以及有关专项资金管理办法的规定；资金的拨付有完整的审批程序和手续；符合项目预算批复或合同规定的用途；我单位不存在截留、挤占、挪用、虚列支出等情况。组织实施情况：己制定相应的财务和业务管理制度；财务和业务管理制度合法、合规、完整。符合相关法律法规和相关管理规定；项目调整及支出调整手续完备；项目过程分值:5分，我单位经过自评得分：4.867分。</w:t>
      </w:r>
    </w:p>
    <w:p>
      <w:pPr>
        <w:pStyle w:val="18"/>
        <w:pageBreakBefore w:val="0"/>
        <w:numPr>
          <w:ilvl w:val="0"/>
          <w:numId w:val="4"/>
        </w:numPr>
        <w:kinsoku/>
        <w:wordWrap/>
        <w:overflowPunct/>
        <w:topLinePunct w:val="0"/>
        <w:autoSpaceDE/>
        <w:autoSpaceDN/>
        <w:bidi w:val="0"/>
        <w:adjustRightInd/>
        <w:snapToGrid/>
        <w:spacing w:after="0" w:line="560" w:lineRule="exact"/>
        <w:ind w:firstLine="321" w:firstLineChars="100"/>
        <w:textAlignment w:val="auto"/>
        <w:rPr>
          <w:rFonts w:hint="eastAsia" w:ascii="楷体" w:hAnsi="楷体" w:eastAsia="楷体" w:cs="楷体"/>
          <w:b/>
          <w:bCs/>
          <w:sz w:val="32"/>
          <w:szCs w:val="32"/>
        </w:rPr>
      </w:pPr>
      <w:r>
        <w:rPr>
          <w:rFonts w:hint="eastAsia" w:ascii="楷体" w:hAnsi="楷体" w:eastAsia="楷体" w:cs="楷体"/>
          <w:b/>
          <w:bCs/>
          <w:sz w:val="32"/>
          <w:szCs w:val="32"/>
        </w:rPr>
        <w:t>项目产出</w:t>
      </w:r>
    </w:p>
    <w:p>
      <w:pPr>
        <w:pageBreakBefore w:val="0"/>
        <w:kinsoku/>
        <w:wordWrap/>
        <w:overflowPunct/>
        <w:topLinePunct w:val="0"/>
        <w:autoSpaceDE/>
        <w:autoSpaceDN/>
        <w:bidi w:val="0"/>
        <w:adjustRightInd/>
        <w:snapToGrid/>
        <w:spacing w:line="560" w:lineRule="exact"/>
        <w:ind w:firstLine="624" w:firstLineChars="200"/>
        <w:textAlignment w:val="auto"/>
        <w:rPr>
          <w:rFonts w:hint="eastAsia" w:ascii="仿宋" w:hAnsi="仿宋" w:eastAsia="仿宋" w:cs="仿宋"/>
          <w:color w:val="auto"/>
          <w:sz w:val="32"/>
          <w:szCs w:val="32"/>
          <w:highlight w:val="none"/>
        </w:rPr>
      </w:pPr>
      <w:r>
        <w:rPr>
          <w:rStyle w:val="21"/>
          <w:rFonts w:hint="eastAsia" w:ascii="仿宋_GB2312" w:hAnsi="仿宋_GB2312" w:eastAsia="仿宋_GB2312" w:cs="仿宋_GB2312"/>
          <w:b w:val="0"/>
          <w:bCs/>
          <w:color w:val="auto"/>
          <w:spacing w:val="-4"/>
          <w:sz w:val="32"/>
          <w:szCs w:val="32"/>
          <w:highlight w:val="none"/>
        </w:rPr>
        <w:t>数量指标方面：</w:t>
      </w:r>
      <w:r>
        <w:rPr>
          <w:rFonts w:hint="eastAsia" w:ascii="仿宋" w:hAnsi="仿宋" w:eastAsia="仿宋" w:cs="仿宋"/>
          <w:color w:val="auto"/>
          <w:sz w:val="32"/>
          <w:szCs w:val="32"/>
          <w:highlight w:val="none"/>
        </w:rPr>
        <w:t>实际完成率100%。</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 w:hAnsi="仿宋" w:eastAsia="仿宋" w:cs="仿宋"/>
          <w:color w:val="auto"/>
          <w:sz w:val="32"/>
          <w:szCs w:val="32"/>
          <w:highlight w:val="none"/>
          <w:lang w:eastAsia="zh-CN"/>
        </w:rPr>
        <w:t>计划</w:t>
      </w:r>
      <w:r>
        <w:rPr>
          <w:rFonts w:hint="eastAsia" w:ascii="仿宋" w:hAnsi="仿宋" w:eastAsia="仿宋" w:cs="仿宋"/>
          <w:color w:val="auto"/>
          <w:sz w:val="32"/>
          <w:szCs w:val="32"/>
          <w:highlight w:val="none"/>
        </w:rPr>
        <w:t>产出数：农机安全</w:t>
      </w:r>
      <w:r>
        <w:rPr>
          <w:rFonts w:hint="eastAsia" w:ascii="仿宋_GB2312" w:hAnsi="仿宋_GB2312" w:eastAsia="仿宋_GB2312" w:cs="仿宋_GB2312"/>
          <w:color w:val="auto"/>
          <w:sz w:val="32"/>
          <w:szCs w:val="32"/>
          <w:highlight w:val="none"/>
          <w:lang w:val="en-US" w:eastAsia="zh-CN"/>
        </w:rPr>
        <w:t>生产执法次数6次;宣传教育印刷资料100册;执法培训次数1次;</w:t>
      </w:r>
    </w:p>
    <w:p>
      <w:pPr>
        <w:pageBreakBefore w:val="0"/>
        <w:kinsoku/>
        <w:wordWrap/>
        <w:overflowPunct/>
        <w:topLinePunct w:val="0"/>
        <w:autoSpaceDE/>
        <w:autoSpaceDN/>
        <w:bidi w:val="0"/>
        <w:adjustRightInd/>
        <w:snapToGrid/>
        <w:spacing w:line="560" w:lineRule="exact"/>
        <w:ind w:firstLine="640" w:firstLineChars="200"/>
        <w:textAlignment w:val="auto"/>
        <w:rPr>
          <w:rStyle w:val="21"/>
          <w:rFonts w:hint="eastAsia" w:ascii="仿宋_GB2312" w:hAnsi="仿宋_GB2312" w:eastAsia="仿宋_GB2312" w:cs="仿宋_GB2312"/>
          <w:b w:val="0"/>
          <w:bCs/>
          <w:color w:val="auto"/>
          <w:spacing w:val="-4"/>
          <w:sz w:val="32"/>
          <w:szCs w:val="32"/>
          <w:highlight w:val="none"/>
        </w:rPr>
      </w:pPr>
      <w:r>
        <w:rPr>
          <w:rFonts w:hint="eastAsia" w:ascii="仿宋_GB2312" w:hAnsi="仿宋_GB2312" w:eastAsia="仿宋_GB2312" w:cs="仿宋_GB2312"/>
          <w:color w:val="auto"/>
          <w:sz w:val="32"/>
          <w:szCs w:val="32"/>
          <w:highlight w:val="none"/>
          <w:lang w:val="en-US" w:eastAsia="zh-CN"/>
        </w:rPr>
        <w:t>实际产出数：农机安全生产执法次数6次;宣传教育印刷资料100册;执法培训次数1次;</w:t>
      </w:r>
    </w:p>
    <w:p>
      <w:pPr>
        <w:pageBreakBefore w:val="0"/>
        <w:kinsoku/>
        <w:wordWrap/>
        <w:overflowPunct/>
        <w:topLinePunct w:val="0"/>
        <w:autoSpaceDE/>
        <w:autoSpaceDN/>
        <w:bidi w:val="0"/>
        <w:adjustRightInd/>
        <w:snapToGrid/>
        <w:spacing w:line="560" w:lineRule="exact"/>
        <w:ind w:firstLine="640"/>
        <w:textAlignment w:val="auto"/>
        <w:rPr>
          <w:rStyle w:val="50"/>
          <w:rFonts w:hint="eastAsia" w:ascii="仿宋_GB2312" w:hAnsi="仿宋_GB2312" w:eastAsia="仿宋_GB2312" w:cs="仿宋_GB2312"/>
          <w:color w:val="auto"/>
          <w:sz w:val="32"/>
          <w:szCs w:val="32"/>
          <w:highlight w:val="none"/>
        </w:rPr>
      </w:pPr>
      <w:r>
        <w:rPr>
          <w:rStyle w:val="50"/>
          <w:rFonts w:hint="eastAsia" w:ascii="仿宋_GB2312" w:hAnsi="仿宋_GB2312" w:eastAsia="仿宋_GB2312" w:cs="仿宋_GB2312"/>
          <w:color w:val="auto"/>
          <w:sz w:val="32"/>
          <w:szCs w:val="32"/>
          <w:highlight w:val="none"/>
        </w:rPr>
        <w:t>质量指标方面：农业机械上户台数，预期指标值</w:t>
      </w:r>
      <w:r>
        <w:rPr>
          <w:rStyle w:val="50"/>
          <w:rFonts w:hint="eastAsia" w:ascii="仿宋_GB2312" w:hAnsi="仿宋_GB2312" w:eastAsia="仿宋_GB2312" w:cs="仿宋_GB2312"/>
          <w:color w:val="auto"/>
          <w:sz w:val="32"/>
          <w:szCs w:val="32"/>
          <w:highlight w:val="none"/>
          <w:lang w:val="en-US" w:eastAsia="zh-CN"/>
        </w:rPr>
        <w:t>不小于</w:t>
      </w:r>
      <w:r>
        <w:rPr>
          <w:rStyle w:val="50"/>
          <w:rFonts w:hint="eastAsia" w:ascii="仿宋_GB2312" w:hAnsi="仿宋_GB2312" w:eastAsia="仿宋_GB2312" w:cs="仿宋_GB2312"/>
          <w:color w:val="auto"/>
          <w:sz w:val="32"/>
          <w:szCs w:val="32"/>
          <w:highlight w:val="none"/>
        </w:rPr>
        <w:t>55000台，指标完成值</w:t>
      </w:r>
      <w:r>
        <w:rPr>
          <w:rStyle w:val="50"/>
          <w:rFonts w:hint="eastAsia" w:ascii="仿宋_GB2312" w:hAnsi="仿宋_GB2312" w:eastAsia="仿宋_GB2312" w:cs="仿宋_GB2312"/>
          <w:color w:val="auto"/>
          <w:sz w:val="32"/>
          <w:szCs w:val="32"/>
          <w:highlight w:val="none"/>
          <w:lang w:val="en-US" w:eastAsia="zh-CN"/>
        </w:rPr>
        <w:t>65785台</w:t>
      </w:r>
      <w:r>
        <w:rPr>
          <w:rStyle w:val="50"/>
          <w:rFonts w:hint="eastAsia" w:ascii="仿宋_GB2312" w:hAnsi="仿宋_GB2312" w:eastAsia="仿宋_GB2312" w:cs="仿宋_GB2312"/>
          <w:color w:val="auto"/>
          <w:sz w:val="32"/>
          <w:szCs w:val="32"/>
          <w:highlight w:val="none"/>
        </w:rPr>
        <w:t>，指标完成率</w:t>
      </w:r>
      <w:r>
        <w:rPr>
          <w:rStyle w:val="50"/>
          <w:rFonts w:hint="eastAsia" w:ascii="仿宋_GB2312" w:hAnsi="仿宋_GB2312" w:eastAsia="仿宋_GB2312" w:cs="仿宋_GB2312"/>
          <w:color w:val="auto"/>
          <w:sz w:val="32"/>
          <w:szCs w:val="32"/>
          <w:highlight w:val="none"/>
          <w:lang w:val="en-US" w:eastAsia="zh-CN"/>
        </w:rPr>
        <w:t>100%</w:t>
      </w:r>
      <w:r>
        <w:rPr>
          <w:rStyle w:val="50"/>
          <w:rFonts w:hint="eastAsia" w:ascii="仿宋_GB2312" w:hAnsi="仿宋_GB2312" w:eastAsia="仿宋_GB2312" w:cs="仿宋_GB2312"/>
          <w:color w:val="auto"/>
          <w:sz w:val="32"/>
          <w:szCs w:val="32"/>
          <w:highlight w:val="none"/>
        </w:rPr>
        <w:t>；</w:t>
      </w:r>
    </w:p>
    <w:p>
      <w:pPr>
        <w:pageBreakBefore w:val="0"/>
        <w:kinsoku/>
        <w:wordWrap/>
        <w:overflowPunct/>
        <w:topLinePunct w:val="0"/>
        <w:autoSpaceDE/>
        <w:autoSpaceDN/>
        <w:bidi w:val="0"/>
        <w:adjustRightInd/>
        <w:snapToGrid/>
        <w:spacing w:line="560" w:lineRule="exact"/>
        <w:ind w:firstLine="640"/>
        <w:textAlignment w:val="auto"/>
        <w:rPr>
          <w:rStyle w:val="50"/>
          <w:rFonts w:hint="eastAsia" w:ascii="仿宋_GB2312" w:hAnsi="仿宋_GB2312" w:eastAsia="仿宋_GB2312" w:cs="仿宋_GB2312"/>
          <w:color w:val="auto"/>
          <w:sz w:val="32"/>
          <w:szCs w:val="32"/>
          <w:highlight w:val="none"/>
          <w:lang w:eastAsia="zh-CN"/>
        </w:rPr>
      </w:pPr>
      <w:r>
        <w:rPr>
          <w:rStyle w:val="50"/>
          <w:rFonts w:hint="eastAsia" w:ascii="仿宋_GB2312" w:hAnsi="仿宋_GB2312" w:eastAsia="仿宋_GB2312" w:cs="仿宋_GB2312"/>
          <w:color w:val="auto"/>
          <w:sz w:val="32"/>
          <w:szCs w:val="32"/>
          <w:highlight w:val="none"/>
        </w:rPr>
        <w:t>农业机械驾驶人员持证人数</w:t>
      </w:r>
      <w:r>
        <w:rPr>
          <w:rStyle w:val="50"/>
          <w:rFonts w:hint="eastAsia" w:ascii="仿宋_GB2312" w:hAnsi="仿宋_GB2312" w:eastAsia="仿宋_GB2312" w:cs="仿宋_GB2312"/>
          <w:color w:val="auto"/>
          <w:sz w:val="32"/>
          <w:szCs w:val="32"/>
          <w:highlight w:val="none"/>
          <w:lang w:eastAsia="zh-CN"/>
        </w:rPr>
        <w:t>，</w:t>
      </w:r>
      <w:r>
        <w:rPr>
          <w:rStyle w:val="50"/>
          <w:rFonts w:hint="eastAsia" w:ascii="仿宋_GB2312" w:hAnsi="仿宋_GB2312" w:eastAsia="仿宋_GB2312" w:cs="仿宋_GB2312"/>
          <w:color w:val="auto"/>
          <w:sz w:val="32"/>
          <w:szCs w:val="32"/>
          <w:highlight w:val="none"/>
        </w:rPr>
        <w:t>预期指标值</w:t>
      </w:r>
      <w:r>
        <w:rPr>
          <w:rStyle w:val="50"/>
          <w:rFonts w:hint="eastAsia" w:ascii="仿宋_GB2312" w:hAnsi="仿宋_GB2312" w:eastAsia="仿宋_GB2312" w:cs="仿宋_GB2312"/>
          <w:color w:val="auto"/>
          <w:sz w:val="32"/>
          <w:szCs w:val="32"/>
          <w:highlight w:val="none"/>
          <w:lang w:val="en-US" w:eastAsia="zh-CN"/>
        </w:rPr>
        <w:t>不小于</w:t>
      </w:r>
      <w:r>
        <w:rPr>
          <w:rStyle w:val="50"/>
          <w:rFonts w:hint="eastAsia" w:ascii="仿宋_GB2312" w:hAnsi="仿宋_GB2312" w:eastAsia="仿宋_GB2312" w:cs="仿宋_GB2312"/>
          <w:color w:val="auto"/>
          <w:sz w:val="32"/>
          <w:szCs w:val="32"/>
          <w:highlight w:val="none"/>
        </w:rPr>
        <w:t>55000</w:t>
      </w:r>
      <w:r>
        <w:rPr>
          <w:rStyle w:val="50"/>
          <w:rFonts w:hint="eastAsia" w:ascii="仿宋_GB2312" w:hAnsi="仿宋_GB2312" w:eastAsia="仿宋_GB2312" w:cs="仿宋_GB2312"/>
          <w:color w:val="auto"/>
          <w:sz w:val="32"/>
          <w:szCs w:val="32"/>
          <w:highlight w:val="none"/>
          <w:lang w:val="en-US" w:eastAsia="zh-CN"/>
        </w:rPr>
        <w:t>人</w:t>
      </w:r>
      <w:r>
        <w:rPr>
          <w:rStyle w:val="50"/>
          <w:rFonts w:hint="eastAsia" w:ascii="仿宋_GB2312" w:hAnsi="仿宋_GB2312" w:eastAsia="仿宋_GB2312" w:cs="仿宋_GB2312"/>
          <w:color w:val="auto"/>
          <w:sz w:val="32"/>
          <w:szCs w:val="32"/>
          <w:highlight w:val="none"/>
        </w:rPr>
        <w:t>，指标完成值</w:t>
      </w:r>
      <w:r>
        <w:rPr>
          <w:rStyle w:val="50"/>
          <w:rFonts w:hint="eastAsia" w:ascii="仿宋_GB2312" w:hAnsi="仿宋_GB2312" w:eastAsia="仿宋_GB2312" w:cs="仿宋_GB2312"/>
          <w:color w:val="auto"/>
          <w:sz w:val="32"/>
          <w:szCs w:val="32"/>
          <w:highlight w:val="none"/>
          <w:lang w:val="en-US" w:eastAsia="zh-CN"/>
        </w:rPr>
        <w:t>54095人</w:t>
      </w:r>
      <w:r>
        <w:rPr>
          <w:rStyle w:val="50"/>
          <w:rFonts w:hint="eastAsia" w:ascii="仿宋_GB2312" w:hAnsi="仿宋_GB2312" w:eastAsia="仿宋_GB2312" w:cs="仿宋_GB2312"/>
          <w:color w:val="auto"/>
          <w:sz w:val="32"/>
          <w:szCs w:val="32"/>
          <w:highlight w:val="none"/>
        </w:rPr>
        <w:t>，指标完成率</w:t>
      </w:r>
      <w:r>
        <w:rPr>
          <w:rStyle w:val="50"/>
          <w:rFonts w:hint="eastAsia" w:ascii="仿宋_GB2312" w:hAnsi="仿宋_GB2312" w:eastAsia="仿宋_GB2312" w:cs="仿宋_GB2312"/>
          <w:color w:val="auto"/>
          <w:sz w:val="32"/>
          <w:szCs w:val="32"/>
          <w:highlight w:val="none"/>
          <w:lang w:val="en-US" w:eastAsia="zh-CN"/>
        </w:rPr>
        <w:t>98.35%。</w:t>
      </w:r>
    </w:p>
    <w:p>
      <w:pPr>
        <w:pageBreakBefore w:val="0"/>
        <w:kinsoku/>
        <w:wordWrap/>
        <w:overflowPunct/>
        <w:topLinePunct w:val="0"/>
        <w:autoSpaceDE/>
        <w:autoSpaceDN/>
        <w:bidi w:val="0"/>
        <w:adjustRightInd/>
        <w:snapToGrid/>
        <w:spacing w:line="560" w:lineRule="exact"/>
        <w:ind w:firstLine="640"/>
        <w:textAlignment w:val="auto"/>
        <w:rPr>
          <w:rStyle w:val="21"/>
          <w:rFonts w:hint="eastAsia" w:ascii="仿宋_GB2312" w:hAnsi="仿宋_GB2312" w:eastAsia="仿宋_GB2312" w:cs="仿宋_GB2312"/>
          <w:b w:val="0"/>
          <w:bCs/>
          <w:spacing w:val="-4"/>
          <w:sz w:val="32"/>
          <w:szCs w:val="32"/>
          <w:highlight w:val="none"/>
          <w:lang w:val="en-US" w:eastAsia="zh-CN"/>
        </w:rPr>
      </w:pPr>
      <w:r>
        <w:rPr>
          <w:rStyle w:val="21"/>
          <w:rFonts w:hint="eastAsia" w:ascii="仿宋_GB2312" w:hAnsi="仿宋_GB2312" w:eastAsia="仿宋_GB2312" w:cs="仿宋_GB2312"/>
          <w:b w:val="0"/>
          <w:bCs/>
          <w:spacing w:val="-4"/>
          <w:sz w:val="32"/>
          <w:szCs w:val="32"/>
          <w:highlight w:val="none"/>
          <w:lang w:val="en-US" w:eastAsia="zh-CN"/>
        </w:rPr>
        <w:t>成本指标方面：总成本不大于10万元，实际成本8.6701万元，成本控制率86.7%。</w:t>
      </w:r>
    </w:p>
    <w:p>
      <w:pPr>
        <w:pageBreakBefore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Style w:val="21"/>
          <w:rFonts w:hint="eastAsia" w:ascii="仿宋_GB2312" w:hAnsi="仿宋_GB2312" w:eastAsia="仿宋_GB2312" w:cs="仿宋_GB2312"/>
          <w:b w:val="0"/>
          <w:bCs/>
          <w:spacing w:val="-4"/>
          <w:sz w:val="32"/>
          <w:szCs w:val="32"/>
          <w:highlight w:val="none"/>
          <w:lang w:val="en-US" w:eastAsia="zh-CN"/>
        </w:rPr>
        <w:t>时效指标方面：</w:t>
      </w:r>
      <w:r>
        <w:rPr>
          <w:rFonts w:hint="eastAsia" w:ascii="仿宋_GB2312" w:hAnsi="仿宋_GB2312" w:eastAsia="仿宋_GB2312" w:cs="仿宋_GB2312"/>
          <w:color w:val="000000" w:themeColor="text1"/>
          <w:sz w:val="32"/>
          <w:szCs w:val="32"/>
          <w:highlight w:val="none"/>
          <w14:textFill>
            <w14:solidFill>
              <w14:schemeClr w14:val="tx1"/>
            </w14:solidFill>
          </w14:textFill>
        </w:rPr>
        <w:t>农机检验及时率</w:t>
      </w:r>
      <w:r>
        <w:rPr>
          <w:rStyle w:val="50"/>
          <w:rFonts w:hint="eastAsia" w:ascii="仿宋_GB2312" w:hAnsi="仿宋_GB2312" w:eastAsia="仿宋_GB2312" w:cs="仿宋_GB2312"/>
          <w:color w:val="auto"/>
          <w:sz w:val="32"/>
          <w:szCs w:val="32"/>
          <w:highlight w:val="none"/>
        </w:rPr>
        <w:t>预期指标完成率</w:t>
      </w:r>
      <w:r>
        <w:rPr>
          <w:rStyle w:val="50"/>
          <w:rFonts w:hint="eastAsia" w:ascii="仿宋_GB2312" w:hAnsi="仿宋_GB2312" w:eastAsia="仿宋_GB2312" w:cs="仿宋_GB2312"/>
          <w:color w:val="auto"/>
          <w:sz w:val="32"/>
          <w:szCs w:val="32"/>
          <w:highlight w:val="none"/>
          <w:lang w:val="en-US" w:eastAsia="zh-CN"/>
        </w:rPr>
        <w:t>100%，实际</w:t>
      </w:r>
      <w:r>
        <w:rPr>
          <w:rStyle w:val="50"/>
          <w:rFonts w:hint="eastAsia" w:ascii="仿宋_GB2312" w:hAnsi="仿宋_GB2312" w:eastAsia="仿宋_GB2312" w:cs="仿宋_GB2312"/>
          <w:color w:val="auto"/>
          <w:sz w:val="32"/>
          <w:szCs w:val="32"/>
          <w:highlight w:val="none"/>
        </w:rPr>
        <w:t>指标完成率</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77</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p>
    <w:p>
      <w:pPr>
        <w:pageBreakBefore w:val="0"/>
        <w:kinsoku/>
        <w:wordWrap/>
        <w:overflowPunct/>
        <w:topLinePunct w:val="0"/>
        <w:autoSpaceDE/>
        <w:autoSpaceDN/>
        <w:bidi w:val="0"/>
        <w:adjustRightInd/>
        <w:snapToGrid/>
        <w:spacing w:line="560" w:lineRule="exact"/>
        <w:ind w:firstLine="640"/>
        <w:textAlignment w:val="auto"/>
        <w:rPr>
          <w:rStyle w:val="21"/>
          <w:rFonts w:hint="eastAsia" w:ascii="仿宋_GB2312" w:hAnsi="仿宋_GB2312" w:eastAsia="仿宋_GB2312" w:cs="仿宋_GB2312"/>
          <w:b w:val="0"/>
          <w:bCs/>
          <w:spacing w:val="-4"/>
          <w:sz w:val="32"/>
          <w:szCs w:val="32"/>
          <w:highlight w:val="none"/>
          <w:lang w:val="en-US" w:eastAsia="zh-CN"/>
        </w:rPr>
      </w:pPr>
      <w:r>
        <w:rPr>
          <w:rStyle w:val="21"/>
          <w:rFonts w:hint="eastAsia" w:ascii="仿宋_GB2312" w:hAnsi="仿宋_GB2312" w:eastAsia="仿宋_GB2312" w:cs="仿宋_GB2312"/>
          <w:b w:val="0"/>
          <w:bCs/>
          <w:spacing w:val="-4"/>
          <w:sz w:val="32"/>
          <w:szCs w:val="32"/>
          <w:highlight w:val="none"/>
          <w:lang w:val="en-US" w:eastAsia="zh-CN"/>
        </w:rPr>
        <w:t>项目产出分值:50分，我单位经过自评得分：46.385分。</w:t>
      </w:r>
    </w:p>
    <w:p>
      <w:pPr>
        <w:pStyle w:val="18"/>
        <w:pageBreakBefore w:val="0"/>
        <w:numPr>
          <w:ilvl w:val="0"/>
          <w:numId w:val="4"/>
        </w:numPr>
        <w:kinsoku/>
        <w:wordWrap/>
        <w:overflowPunct/>
        <w:topLinePunct w:val="0"/>
        <w:autoSpaceDE/>
        <w:autoSpaceDN/>
        <w:bidi w:val="0"/>
        <w:adjustRightInd/>
        <w:snapToGrid/>
        <w:spacing w:after="0" w:line="560" w:lineRule="exact"/>
        <w:ind w:firstLine="321" w:firstLineChars="100"/>
        <w:textAlignment w:val="auto"/>
        <w:rPr>
          <w:rFonts w:hint="eastAsia" w:ascii="楷体" w:hAnsi="楷体" w:eastAsia="楷体" w:cs="楷体"/>
          <w:b/>
          <w:bCs/>
          <w:sz w:val="32"/>
          <w:szCs w:val="32"/>
        </w:rPr>
      </w:pPr>
      <w:r>
        <w:rPr>
          <w:rFonts w:hint="eastAsia" w:ascii="楷体" w:hAnsi="楷体" w:eastAsia="楷体" w:cs="楷体"/>
          <w:b/>
          <w:bCs/>
          <w:sz w:val="32"/>
          <w:szCs w:val="32"/>
        </w:rPr>
        <w:t>效益情况</w:t>
      </w:r>
    </w:p>
    <w:p>
      <w:pPr>
        <w:pageBreakBefore w:val="0"/>
        <w:kinsoku/>
        <w:wordWrap/>
        <w:overflowPunct/>
        <w:topLinePunct w:val="0"/>
        <w:autoSpaceDE/>
        <w:autoSpaceDN/>
        <w:bidi w:val="0"/>
        <w:adjustRightInd/>
        <w:snapToGrid/>
        <w:spacing w:line="560" w:lineRule="exact"/>
        <w:ind w:firstLine="640"/>
        <w:textAlignment w:val="auto"/>
        <w:rPr>
          <w:rStyle w:val="50"/>
          <w:rFonts w:hint="eastAsia" w:ascii="仿宋_GB2312" w:hAnsi="仿宋_GB2312" w:eastAsia="仿宋_GB2312" w:cs="仿宋_GB2312"/>
          <w:color w:val="auto"/>
          <w:sz w:val="32"/>
          <w:szCs w:val="32"/>
        </w:rPr>
      </w:pPr>
      <w:r>
        <w:rPr>
          <w:rStyle w:val="50"/>
          <w:rFonts w:hint="eastAsia" w:ascii="仿宋_GB2312" w:hAnsi="仿宋_GB2312" w:eastAsia="仿宋_GB2312" w:cs="仿宋_GB2312"/>
          <w:color w:val="auto"/>
          <w:sz w:val="32"/>
          <w:szCs w:val="32"/>
        </w:rPr>
        <w:t>经济效益指标方面：</w:t>
      </w:r>
      <w:r>
        <w:rPr>
          <w:rFonts w:hint="eastAsia" w:ascii="仿宋_GB2312" w:hAnsi="仿宋_GB2312" w:eastAsia="仿宋_GB2312" w:cs="仿宋_GB2312"/>
          <w:color w:val="000000" w:themeColor="text1"/>
          <w:sz w:val="32"/>
          <w:szCs w:val="32"/>
          <w14:textFill>
            <w14:solidFill>
              <w14:schemeClr w14:val="tx1"/>
            </w14:solidFill>
          </w14:textFill>
        </w:rPr>
        <w:t>报废老旧拖拉机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3829</w:t>
      </w:r>
      <w:r>
        <w:rPr>
          <w:rFonts w:hint="eastAsia" w:ascii="仿宋_GB2312" w:hAnsi="仿宋_GB2312" w:eastAsia="仿宋_GB2312" w:cs="仿宋_GB2312"/>
          <w:color w:val="000000" w:themeColor="text1"/>
          <w:sz w:val="32"/>
          <w:szCs w:val="32"/>
          <w14:textFill>
            <w14:solidFill>
              <w14:schemeClr w14:val="tx1"/>
            </w14:solidFill>
          </w14:textFill>
        </w:rPr>
        <w:t>台。报废老旧拖拉机，确保农业机械以良好的技术状态投入农业生产，为我区农业增效，农民增收提供安全保障。</w:t>
      </w:r>
    </w:p>
    <w:p>
      <w:pPr>
        <w:pageBreakBefore w:val="0"/>
        <w:kinsoku/>
        <w:wordWrap/>
        <w:overflowPunct/>
        <w:topLinePunct w:val="0"/>
        <w:autoSpaceDE/>
        <w:autoSpaceDN/>
        <w:bidi w:val="0"/>
        <w:adjustRightInd/>
        <w:snapToGrid/>
        <w:spacing w:line="560" w:lineRule="exact"/>
        <w:ind w:firstLine="640"/>
        <w:textAlignment w:val="auto"/>
        <w:rPr>
          <w:rStyle w:val="50"/>
          <w:rFonts w:hint="eastAsia" w:ascii="仿宋_GB2312" w:hAnsi="仿宋_GB2312" w:eastAsia="仿宋_GB2312" w:cs="仿宋_GB2312"/>
          <w:color w:val="auto"/>
          <w:sz w:val="32"/>
          <w:szCs w:val="32"/>
        </w:rPr>
      </w:pPr>
      <w:r>
        <w:rPr>
          <w:rStyle w:val="50"/>
          <w:rFonts w:hint="eastAsia" w:ascii="仿宋_GB2312" w:hAnsi="仿宋_GB2312" w:eastAsia="仿宋_GB2312" w:cs="仿宋_GB2312"/>
          <w:color w:val="auto"/>
          <w:sz w:val="32"/>
          <w:szCs w:val="32"/>
        </w:rPr>
        <w:t>社会效益指标方面：农机事故死亡人数为0。全地区未发生农机事故，农机安全生产形势稳定。为我区农业增效，农民增收提供安全保障。</w:t>
      </w:r>
    </w:p>
    <w:p>
      <w:pPr>
        <w:pageBreakBefore w:val="0"/>
        <w:kinsoku/>
        <w:wordWrap/>
        <w:overflowPunct/>
        <w:topLinePunct w:val="0"/>
        <w:autoSpaceDE/>
        <w:autoSpaceDN/>
        <w:bidi w:val="0"/>
        <w:adjustRightInd/>
        <w:snapToGrid/>
        <w:spacing w:line="560" w:lineRule="exact"/>
        <w:ind w:firstLine="640"/>
        <w:textAlignment w:val="auto"/>
        <w:rPr>
          <w:rStyle w:val="50"/>
          <w:rFonts w:hint="eastAsia" w:ascii="仿宋_GB2312" w:hAnsi="仿宋_GB2312" w:eastAsia="仿宋_GB2312" w:cs="仿宋_GB2312"/>
          <w:color w:val="auto"/>
          <w:sz w:val="32"/>
          <w:szCs w:val="32"/>
        </w:rPr>
      </w:pPr>
      <w:r>
        <w:rPr>
          <w:rStyle w:val="50"/>
          <w:rFonts w:hint="eastAsia" w:ascii="仿宋_GB2312" w:hAnsi="仿宋_GB2312" w:eastAsia="仿宋_GB2312" w:cs="仿宋_GB2312"/>
          <w:color w:val="auto"/>
          <w:sz w:val="32"/>
          <w:szCs w:val="32"/>
        </w:rPr>
        <w:t>可持续影响指标方面：持证率较上年递增2.</w:t>
      </w:r>
      <w:r>
        <w:rPr>
          <w:rStyle w:val="50"/>
          <w:rFonts w:hint="eastAsia" w:ascii="仿宋_GB2312" w:hAnsi="仿宋_GB2312" w:eastAsia="仿宋_GB2312" w:cs="仿宋_GB2312"/>
          <w:color w:val="auto"/>
          <w:sz w:val="32"/>
          <w:szCs w:val="32"/>
          <w:lang w:val="en-US" w:eastAsia="zh-CN"/>
        </w:rPr>
        <w:t>9</w:t>
      </w:r>
      <w:r>
        <w:rPr>
          <w:rStyle w:val="50"/>
          <w:rFonts w:hint="eastAsia" w:ascii="仿宋_GB2312" w:hAnsi="仿宋_GB2312" w:eastAsia="仿宋_GB2312" w:cs="仿宋_GB2312"/>
          <w:color w:val="auto"/>
          <w:sz w:val="32"/>
          <w:szCs w:val="32"/>
        </w:rPr>
        <w:t>%。提高农业机械持证率，预防和减少农机事故的发生。</w:t>
      </w:r>
    </w:p>
    <w:p>
      <w:pPr>
        <w:pageBreakBefore w:val="0"/>
        <w:kinsoku/>
        <w:wordWrap/>
        <w:overflowPunct/>
        <w:topLinePunct w:val="0"/>
        <w:autoSpaceDE/>
        <w:autoSpaceDN/>
        <w:bidi w:val="0"/>
        <w:adjustRightInd/>
        <w:snapToGrid/>
        <w:spacing w:line="560" w:lineRule="exact"/>
        <w:ind w:firstLine="640" w:firstLineChars="200"/>
        <w:textAlignment w:val="auto"/>
        <w:rPr>
          <w:rStyle w:val="50"/>
          <w:rFonts w:hint="eastAsia" w:ascii="仿宋_GB2312" w:hAnsi="仿宋_GB2312" w:eastAsia="仿宋_GB2312" w:cs="仿宋_GB2312"/>
          <w:color w:val="auto"/>
          <w:sz w:val="32"/>
          <w:szCs w:val="32"/>
          <w:lang w:eastAsia="zh-CN"/>
        </w:rPr>
      </w:pPr>
      <w:r>
        <w:rPr>
          <w:rStyle w:val="50"/>
          <w:rFonts w:hint="eastAsia" w:ascii="仿宋_GB2312" w:hAnsi="仿宋_GB2312" w:eastAsia="仿宋_GB2312" w:cs="仿宋_GB2312"/>
          <w:color w:val="auto"/>
          <w:sz w:val="32"/>
          <w:szCs w:val="32"/>
        </w:rPr>
        <w:t>满意度指标方面：农机监理人员服务质量群众满意率：100%</w:t>
      </w:r>
      <w:r>
        <w:rPr>
          <w:rStyle w:val="50"/>
          <w:rFonts w:hint="eastAsia" w:ascii="仿宋_GB2312" w:hAnsi="仿宋_GB2312" w:eastAsia="仿宋_GB2312" w:cs="仿宋_GB2312"/>
          <w:color w:val="auto"/>
          <w:sz w:val="32"/>
          <w:szCs w:val="32"/>
          <w:lang w:eastAsia="zh-CN"/>
        </w:rPr>
        <w:t>。我单位专项工作开展有助于社会经济发展，维护了农机安全形势稳定，农机监理人员服务质量群众满意率为100%。</w:t>
      </w:r>
    </w:p>
    <w:p>
      <w:pPr>
        <w:pageBreakBefore w:val="0"/>
        <w:kinsoku/>
        <w:wordWrap/>
        <w:overflowPunct/>
        <w:topLinePunct w:val="0"/>
        <w:autoSpaceDE/>
        <w:autoSpaceDN/>
        <w:bidi w:val="0"/>
        <w:adjustRightInd/>
        <w:snapToGrid/>
        <w:spacing w:line="560" w:lineRule="exact"/>
        <w:ind w:firstLine="640" w:firstLineChars="200"/>
        <w:jc w:val="left"/>
        <w:textAlignment w:val="auto"/>
        <w:rPr>
          <w:rStyle w:val="50"/>
          <w:rFonts w:hint="eastAsia" w:ascii="仿宋_GB2312" w:hAnsi="仿宋_GB2312" w:eastAsia="仿宋_GB2312" w:cs="仿宋_GB2312"/>
          <w:color w:val="auto"/>
          <w:sz w:val="32"/>
          <w:szCs w:val="32"/>
          <w:lang w:eastAsia="zh-CN"/>
        </w:rPr>
      </w:pPr>
      <w:r>
        <w:rPr>
          <w:rStyle w:val="50"/>
          <w:rFonts w:hint="eastAsia" w:ascii="仿宋_GB2312" w:hAnsi="仿宋_GB2312" w:eastAsia="仿宋_GB2312" w:cs="仿宋_GB2312"/>
          <w:color w:val="auto"/>
          <w:sz w:val="32"/>
          <w:szCs w:val="32"/>
          <w:lang w:val="en-US" w:eastAsia="zh-CN"/>
        </w:rPr>
        <w:t>项目效益分值:40分，我单位经过自评得分：40分。</w:t>
      </w:r>
    </w:p>
    <w:p>
      <w:pPr>
        <w:pageBreakBefore w:val="0"/>
        <w:kinsoku/>
        <w:wordWrap/>
        <w:overflowPunct/>
        <w:topLinePunct w:val="0"/>
        <w:autoSpaceDE/>
        <w:autoSpaceDN/>
        <w:bidi w:val="0"/>
        <w:adjustRightInd/>
        <w:snapToGrid/>
        <w:spacing w:line="560" w:lineRule="exact"/>
        <w:ind w:firstLine="641"/>
        <w:textAlignment w:val="auto"/>
        <w:rPr>
          <w:rStyle w:val="50"/>
          <w:rFonts w:hint="eastAsia" w:ascii="黑体" w:hAnsi="黑体" w:eastAsia="黑体" w:cs="黑体"/>
          <w:b/>
          <w:bCs/>
          <w:color w:val="auto"/>
          <w:sz w:val="32"/>
          <w:szCs w:val="32"/>
        </w:rPr>
      </w:pPr>
      <w:r>
        <w:rPr>
          <w:rFonts w:hint="eastAsia" w:ascii="黑体" w:hAnsi="黑体" w:eastAsia="黑体" w:cs="黑体"/>
          <w:b/>
          <w:bCs/>
          <w:sz w:val="32"/>
          <w:szCs w:val="32"/>
        </w:rPr>
        <w:t>五、主要经验及做法、存在的问题及原因分析</w:t>
      </w:r>
    </w:p>
    <w:p>
      <w:pPr>
        <w:pageBreakBefore w:val="0"/>
        <w:kinsoku/>
        <w:wordWrap/>
        <w:overflowPunct/>
        <w:topLinePunct w:val="0"/>
        <w:autoSpaceDE/>
        <w:autoSpaceDN/>
        <w:bidi w:val="0"/>
        <w:adjustRightInd/>
        <w:snapToGrid/>
        <w:spacing w:line="560" w:lineRule="exact"/>
        <w:ind w:firstLine="567" w:firstLineChars="181"/>
        <w:textAlignment w:val="auto"/>
        <w:rPr>
          <w:rFonts w:hint="eastAsia" w:ascii="楷体" w:hAnsi="楷体" w:eastAsia="楷体" w:cs="楷体"/>
          <w:b/>
          <w:spacing w:val="-4"/>
          <w:sz w:val="32"/>
          <w:szCs w:val="32"/>
        </w:rPr>
      </w:pPr>
      <w:r>
        <w:rPr>
          <w:rFonts w:hint="eastAsia" w:ascii="楷体" w:hAnsi="楷体" w:eastAsia="楷体" w:cs="楷体"/>
          <w:b/>
          <w:spacing w:val="-4"/>
          <w:sz w:val="32"/>
          <w:szCs w:val="32"/>
        </w:rPr>
        <w:t>（一）主要经验及做法</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eastAsia" w:ascii="仿宋_GB2312" w:hAnsi="仿宋_GB2312" w:eastAsia="仿宋_GB2312" w:cs="仿宋_GB2312"/>
          <w:b w:val="0"/>
          <w:bCs w:val="0"/>
          <w:kern w:val="2"/>
          <w:sz w:val="32"/>
          <w:szCs w:val="32"/>
        </w:rPr>
      </w:pPr>
      <w:r>
        <w:rPr>
          <w:rFonts w:hint="eastAsia" w:ascii="仿宋_GB2312" w:hAnsi="仿宋_GB2312" w:eastAsia="仿宋_GB2312" w:cs="仿宋_GB2312"/>
          <w:b w:val="0"/>
          <w:bCs w:val="0"/>
          <w:kern w:val="2"/>
          <w:sz w:val="32"/>
          <w:szCs w:val="3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pageBreakBefore w:val="0"/>
        <w:numPr>
          <w:ilvl w:val="0"/>
          <w:numId w:val="5"/>
        </w:numPr>
        <w:kinsoku/>
        <w:wordWrap/>
        <w:overflowPunct/>
        <w:topLinePunct w:val="0"/>
        <w:autoSpaceDE/>
        <w:autoSpaceDN/>
        <w:bidi w:val="0"/>
        <w:adjustRightInd/>
        <w:snapToGrid/>
        <w:spacing w:line="560" w:lineRule="exact"/>
        <w:ind w:firstLine="641"/>
        <w:textAlignment w:val="auto"/>
        <w:rPr>
          <w:rFonts w:hint="eastAsia" w:ascii="楷体" w:hAnsi="楷体" w:eastAsia="楷体" w:cs="楷体"/>
          <w:b/>
          <w:bCs/>
          <w:sz w:val="32"/>
          <w:szCs w:val="32"/>
        </w:rPr>
      </w:pPr>
      <w:r>
        <w:rPr>
          <w:rFonts w:hint="eastAsia" w:ascii="楷体" w:hAnsi="楷体" w:eastAsia="楷体" w:cs="楷体"/>
          <w:b/>
          <w:bCs/>
          <w:sz w:val="32"/>
          <w:szCs w:val="32"/>
        </w:rPr>
        <w:t>存在的问题及原因分析</w:t>
      </w:r>
    </w:p>
    <w:p>
      <w:pPr>
        <w:pStyle w:val="2"/>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_GB2312" w:eastAsia="仿宋_GB2312" w:cs="仿宋_GB2312"/>
          <w:b w:val="0"/>
          <w:bCs w:val="0"/>
          <w:kern w:val="2"/>
          <w:sz w:val="32"/>
          <w:szCs w:val="32"/>
          <w:lang w:eastAsia="zh-CN"/>
        </w:rPr>
      </w:pPr>
      <w:r>
        <w:rPr>
          <w:rFonts w:hint="eastAsia" w:ascii="仿宋_GB2312" w:hAnsi="仿宋_GB2312" w:eastAsia="仿宋_GB2312" w:cs="仿宋_GB2312"/>
          <w:b w:val="0"/>
          <w:bCs w:val="0"/>
          <w:kern w:val="2"/>
          <w:sz w:val="32"/>
          <w:szCs w:val="32"/>
        </w:rPr>
        <w:t>1、存在的问题</w:t>
      </w:r>
      <w:r>
        <w:rPr>
          <w:rFonts w:hint="eastAsia" w:ascii="仿宋_GB2312" w:hAnsi="仿宋_GB2312" w:eastAsia="仿宋_GB2312" w:cs="仿宋_GB2312"/>
          <w:b w:val="0"/>
          <w:bCs w:val="0"/>
          <w:kern w:val="2"/>
          <w:sz w:val="32"/>
          <w:szCs w:val="32"/>
          <w:lang w:eastAsia="zh-CN"/>
        </w:rPr>
        <w:t>：农机检验及时率</w:t>
      </w:r>
      <w:r>
        <w:rPr>
          <w:rFonts w:hint="eastAsia" w:ascii="仿宋_GB2312" w:hAnsi="仿宋_GB2312" w:eastAsia="仿宋_GB2312" w:cs="仿宋_GB2312"/>
          <w:b w:val="0"/>
          <w:bCs w:val="0"/>
          <w:kern w:val="2"/>
          <w:sz w:val="32"/>
          <w:szCs w:val="32"/>
          <w:lang w:val="en-US" w:eastAsia="zh-CN"/>
        </w:rPr>
        <w:t>77</w:t>
      </w:r>
      <w:r>
        <w:rPr>
          <w:rFonts w:hint="eastAsia" w:ascii="仿宋_GB2312" w:hAnsi="仿宋_GB2312" w:eastAsia="仿宋_GB2312" w:cs="仿宋_GB2312"/>
          <w:b w:val="0"/>
          <w:bCs w:val="0"/>
          <w:kern w:val="2"/>
          <w:sz w:val="32"/>
          <w:szCs w:val="32"/>
          <w:lang w:eastAsia="zh-CN"/>
        </w:rPr>
        <w:t>%。</w:t>
      </w:r>
    </w:p>
    <w:p>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2、原因分析</w:t>
      </w:r>
      <w:r>
        <w:rPr>
          <w:rFonts w:hint="eastAsia" w:ascii="仿宋_GB2312" w:hAnsi="仿宋_GB2312" w:eastAsia="仿宋_GB2312" w:cs="仿宋_GB2312"/>
          <w:sz w:val="32"/>
          <w:szCs w:val="32"/>
          <w:lang w:eastAsia="zh-CN"/>
        </w:rPr>
        <w:t>：因疫情导致车主未能及时检验。</w:t>
      </w:r>
    </w:p>
    <w:p>
      <w:pPr>
        <w:pageBreakBefore w:val="0"/>
        <w:numPr>
          <w:ilvl w:val="0"/>
          <w:numId w:val="6"/>
        </w:numPr>
        <w:kinsoku/>
        <w:wordWrap/>
        <w:overflowPunct/>
        <w:topLinePunct w:val="0"/>
        <w:autoSpaceDE/>
        <w:autoSpaceDN/>
        <w:bidi w:val="0"/>
        <w:adjustRightInd/>
        <w:snapToGrid/>
        <w:spacing w:line="560" w:lineRule="exact"/>
        <w:ind w:firstLine="641"/>
        <w:textAlignment w:val="auto"/>
        <w:rPr>
          <w:rFonts w:hint="eastAsia" w:ascii="黑体" w:hAnsi="黑体" w:eastAsia="黑体" w:cs="黑体"/>
          <w:b/>
          <w:bCs/>
          <w:sz w:val="32"/>
          <w:szCs w:val="32"/>
        </w:rPr>
      </w:pPr>
      <w:r>
        <w:rPr>
          <w:rFonts w:hint="eastAsia" w:ascii="黑体" w:hAnsi="黑体" w:eastAsia="黑体" w:cs="黑体"/>
          <w:b/>
          <w:bCs/>
          <w:sz w:val="32"/>
          <w:szCs w:val="32"/>
        </w:rPr>
        <w:t>有关建议</w:t>
      </w:r>
    </w:p>
    <w:p>
      <w:pPr>
        <w:pageBreakBefore w:val="0"/>
        <w:numPr>
          <w:ilvl w:val="0"/>
          <w:numId w:val="7"/>
        </w:numPr>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pPr>
        <w:pageBreakBefore w:val="0"/>
        <w:numPr>
          <w:ilvl w:val="0"/>
          <w:numId w:val="7"/>
        </w:numPr>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财政和项目实施单位严格实行“三专”管理，即设专户、建专</w:t>
      </w:r>
      <w:r>
        <w:rPr>
          <w:rFonts w:hint="eastAsia" w:ascii="仿宋_GB2312" w:eastAsia="仿宋_GB2312" w:cs="仿宋_GB2312"/>
          <w:sz w:val="32"/>
          <w:szCs w:val="32"/>
          <w:lang w:val="en-US" w:eastAsia="zh-CN"/>
        </w:rPr>
        <w:t>账</w:t>
      </w:r>
      <w:r>
        <w:rPr>
          <w:rFonts w:hint="eastAsia" w:ascii="仿宋_GB2312" w:hAnsi="仿宋_GB2312" w:eastAsia="仿宋_GB2312" w:cs="仿宋_GB2312"/>
          <w:sz w:val="32"/>
          <w:szCs w:val="32"/>
        </w:rPr>
        <w:t>、定专人。同时，资金拨付除坚持按项目计划、工程进度和质量分阶段验收拨款外，还坚持部门联审制，项目单位先做事、后报</w:t>
      </w:r>
      <w:r>
        <w:rPr>
          <w:rFonts w:hint="eastAsia" w:ascii="仿宋_GB2312" w:eastAsia="仿宋_GB2312" w:cs="仿宋_GB2312"/>
          <w:sz w:val="32"/>
          <w:szCs w:val="32"/>
          <w:lang w:val="en-US" w:eastAsia="zh-CN"/>
        </w:rPr>
        <w:t>账</w:t>
      </w:r>
      <w:r>
        <w:rPr>
          <w:rFonts w:hint="eastAsia" w:ascii="仿宋_GB2312" w:hAnsi="仿宋_GB2312" w:eastAsia="仿宋_GB2312" w:cs="仿宋_GB2312"/>
          <w:sz w:val="32"/>
          <w:szCs w:val="32"/>
        </w:rPr>
        <w:t>，从而确保专项资金专款专用，有效地防止了截留、挤占和挪用。</w:t>
      </w:r>
    </w:p>
    <w:p>
      <w:pPr>
        <w:pageBreakBefore w:val="0"/>
        <w:numPr>
          <w:ilvl w:val="0"/>
          <w:numId w:val="6"/>
        </w:numPr>
        <w:kinsoku/>
        <w:wordWrap/>
        <w:overflowPunct/>
        <w:topLinePunct w:val="0"/>
        <w:autoSpaceDE/>
        <w:autoSpaceDN/>
        <w:bidi w:val="0"/>
        <w:adjustRightInd/>
        <w:snapToGrid/>
        <w:spacing w:line="560" w:lineRule="exact"/>
        <w:ind w:firstLine="641"/>
        <w:textAlignment w:val="auto"/>
        <w:rPr>
          <w:rFonts w:ascii="黑体" w:hAnsi="黑体" w:eastAsia="黑体"/>
          <w:b/>
          <w:bCs/>
          <w:sz w:val="32"/>
          <w:szCs w:val="32"/>
        </w:rPr>
      </w:pPr>
      <w:r>
        <w:rPr>
          <w:rFonts w:hint="eastAsia" w:ascii="黑体" w:hAnsi="黑体" w:eastAsia="黑体"/>
          <w:b/>
          <w:bCs/>
          <w:sz w:val="32"/>
          <w:szCs w:val="32"/>
        </w:rPr>
        <w:t>其他需要说</w:t>
      </w:r>
      <w:bookmarkStart w:id="1" w:name="page8"/>
      <w:bookmarkEnd w:id="1"/>
      <w:r>
        <w:rPr>
          <w:rFonts w:hint="eastAsia" w:ascii="黑体" w:hAnsi="黑体" w:eastAsia="黑体"/>
          <w:b/>
          <w:bCs/>
          <w:sz w:val="32"/>
          <w:szCs w:val="32"/>
        </w:rPr>
        <w:t>明的问题</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sz w:val="32"/>
          <w:szCs w:val="32"/>
        </w:rPr>
      </w:pPr>
      <w:r>
        <w:rPr>
          <w:rFonts w:hint="eastAsia" w:ascii="仿宋_GB2312" w:hAnsi="仿宋_GB2312" w:eastAsia="仿宋_GB2312" w:cs="仿宋_GB2312"/>
          <w:sz w:val="32"/>
          <w:szCs w:val="32"/>
          <w:lang w:eastAsia="zh-CN"/>
        </w:rPr>
        <w:t>无</w:t>
      </w:r>
    </w:p>
    <w:p>
      <w:pPr>
        <w:pStyle w:val="2"/>
        <w:pageBreakBefore w:val="0"/>
        <w:kinsoku/>
        <w:wordWrap/>
        <w:overflowPunct/>
        <w:topLinePunct w:val="0"/>
        <w:autoSpaceDE/>
        <w:autoSpaceDN/>
        <w:bidi w:val="0"/>
        <w:adjustRightInd/>
        <w:snapToGrid/>
        <w:spacing w:before="0" w:after="0" w:line="560" w:lineRule="exact"/>
        <w:jc w:val="both"/>
        <w:textAlignment w:val="auto"/>
        <w:sectPr>
          <w:footerReference r:id="rId3" w:type="default"/>
          <w:pgSz w:w="11906" w:h="16838"/>
          <w:pgMar w:top="1440" w:right="1417" w:bottom="1440" w:left="1417" w:header="851" w:footer="992" w:gutter="0"/>
          <w:cols w:space="425" w:num="1"/>
          <w:docGrid w:type="lines" w:linePitch="312" w:charSpace="0"/>
        </w:sectPr>
      </w:pPr>
    </w:p>
    <w:p>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附件1</w:t>
      </w:r>
    </w:p>
    <w:tbl>
      <w:tblPr>
        <w:tblStyle w:val="19"/>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9"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67"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35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5188"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lang w:val="en-US" w:eastAsia="zh-CN"/>
              </w:rPr>
              <w:t>权重</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39"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决策　</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p>
            <w:pPr>
              <w:pageBreakBefore w:val="0"/>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67"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项目立项　</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立项依据</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充分性</w:t>
            </w:r>
          </w:p>
        </w:tc>
        <w:tc>
          <w:tcPr>
            <w:tcW w:w="235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项目立项是否符合法律法规、相关政策、发展规划以及部门职责，用以反映和考核项目立项依据情况。</w:t>
            </w:r>
          </w:p>
        </w:tc>
        <w:tc>
          <w:tcPr>
            <w:tcW w:w="5188"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①项目立项是否符合国家法律法规、国民经济发展规划和相关政策；</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②项目立项是否符合行业发展规划和政策要求；</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③项目立项是否与部门职责范围相符，属于部门履职所需；</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④项目是否属于公共财政支持范围，是否符合中央、地方事权支出责任划分原则；</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⑤项目是否与相关部门同类项目或部门内部相关项目重复。</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rPr>
              <w:t>0.5</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cs="宋体"/>
                <w:color w:val="000000"/>
                <w:kern w:val="0"/>
                <w:sz w:val="18"/>
                <w:szCs w:val="18"/>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767"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立项程序</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规范性</w:t>
            </w:r>
          </w:p>
        </w:tc>
        <w:tc>
          <w:tcPr>
            <w:tcW w:w="235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项目申请、设立过程是否符合相关要求，用以反映和考核项目立项的规范情况。</w:t>
            </w:r>
          </w:p>
        </w:tc>
        <w:tc>
          <w:tcPr>
            <w:tcW w:w="5188"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①项目是否按照规定的程序申请设立；</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②审批文件、材料是否符合相关要求；</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③事前是否已经过必要的可行性研究、专家论证、风险评估、绩效评估、集体决策。</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rPr>
              <w:t>0.5</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cs="宋体"/>
                <w:color w:val="000000"/>
                <w:kern w:val="0"/>
                <w:sz w:val="18"/>
                <w:szCs w:val="18"/>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767"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绩效目标　</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项目所设定的绩效目标是否依据充分，是否符合客观实际，用以反映和考核项目绩效目标与项目实施的相符情况。</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（如未设定预算绩效目标，也可考核其他工作任务目标）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①项目是否有绩效目标；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②项目绩效目标与实际工作内容是否具有相关性；</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③项目预期产出效益和效果是否符合正常的业绩水平；</w:t>
            </w:r>
          </w:p>
          <w:p>
            <w:pPr>
              <w:pageBreakBefore w:val="0"/>
              <w:widowControl/>
              <w:kinsoku/>
              <w:wordWrap/>
              <w:overflowPunct/>
              <w:topLinePunct w:val="0"/>
              <w:autoSpaceDE/>
              <w:autoSpaceDN/>
              <w:bidi w:val="0"/>
              <w:adjustRightInd/>
              <w:snapToGrid/>
              <w:spacing w:line="560" w:lineRule="exact"/>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④是否与预算确定的项目投资额或资金量相匹配。</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rPr>
              <w:t>1</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39"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决策　</w:t>
            </w:r>
          </w:p>
        </w:tc>
        <w:tc>
          <w:tcPr>
            <w:tcW w:w="767"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绩效指标</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明确性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依据绩效目标设定的绩效指标是否清晰、细化、可衡量等，用以反映和考核项目绩效目标的明细化情况。</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①是否将项目绩效目标细化分解为具体的绩效指标；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②是否通过清晰、可衡量的指标值予以体现；</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③是否与项目目标任务数或计划数相对应。</w:t>
            </w:r>
            <w:r>
              <w:rPr>
                <w:rFonts w:hint="eastAsia" w:ascii="宋体" w:hAnsi="宋体" w:eastAsia="宋体" w:cs="宋体"/>
                <w:color w:val="000000"/>
                <w:kern w:val="0"/>
                <w:sz w:val="18"/>
                <w:szCs w:val="18"/>
              </w:rPr>
              <w:br w:type="textWrapping"/>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rPr>
              <w:t>1</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767"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资金投入</w:t>
            </w:r>
          </w:p>
          <w:p>
            <w:pPr>
              <w:pageBreakBefore w:val="0"/>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预算编制</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科学性</w:t>
            </w:r>
          </w:p>
        </w:tc>
        <w:tc>
          <w:tcPr>
            <w:tcW w:w="235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项目预算编制是否经过科学论证、有明确标准，资金额度与年度目标是否相适应，用以反映和考核项目预算编制的科学性、合理性情况。</w:t>
            </w:r>
          </w:p>
        </w:tc>
        <w:tc>
          <w:tcPr>
            <w:tcW w:w="5188"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①预算编制是否经过科学论证；</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②预算内容与项目内容是否匹配；</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③预算额度测算依据是否充分，是否按照标准编制；</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④预算确定的项目投资额或资金量是否与工作任务相匹配。</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rPr>
              <w:t>1</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9"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767"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资金分配</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235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项目预算资金分配是否有测算依据，与补助单位或地方实际是否相适应，用以反映和考核项目预算资金分配的科学性、合理性情况。</w:t>
            </w:r>
          </w:p>
        </w:tc>
        <w:tc>
          <w:tcPr>
            <w:tcW w:w="5188"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①预算资金分配依据是否充分；</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②资金分配额度是否合理，与项目单位或地方实际是否相适应。</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rPr>
              <w:t>1</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39" w:type="dxa"/>
            <w:vMerge w:val="restart"/>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过程</w:t>
            </w:r>
          </w:p>
        </w:tc>
        <w:tc>
          <w:tcPr>
            <w:tcW w:w="767"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资金到位率</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实际到位资金与预算资金的比率，用以反映和考核资金落实情况对项目实施的总体保障程度。</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资金到位率=（实际到位资金/预算资金）×100%。</w:t>
            </w:r>
          </w:p>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实际到位资金：一定时期（本年度或项目期）内落实到具体项目的资金。</w:t>
            </w:r>
          </w:p>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预算资金：一定时期（本年度或项目期）内预算安排到具体项目的资金。</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cs="宋体"/>
                <w:color w:val="000000"/>
                <w:kern w:val="0"/>
                <w:sz w:val="18"/>
                <w:szCs w:val="18"/>
              </w:rPr>
              <w:t>1</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235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项目预算资金是否按照计划执行，用以反映或考核项目预算执行情况。</w:t>
            </w:r>
          </w:p>
        </w:tc>
        <w:tc>
          <w:tcPr>
            <w:tcW w:w="5188"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预算执行率=（实际支出资金/实际到位资金）×100%。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实际支出资金：一定时期（本年度或项目期）内项目实际拨付的资金。</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cs="宋体"/>
                <w:color w:val="000000"/>
                <w:kern w:val="0"/>
                <w:sz w:val="18"/>
                <w:szCs w:val="18"/>
              </w:rPr>
              <w:t>1</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cs="宋体"/>
                <w:color w:val="000000"/>
                <w:kern w:val="0"/>
                <w:sz w:val="18"/>
                <w:szCs w:val="18"/>
                <w:lang w:val="en-US" w:eastAsia="zh-CN"/>
              </w:rPr>
              <w:t>0.867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p>
            <w:pPr>
              <w:pageBreakBefore w:val="0"/>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过程　</w:t>
            </w:r>
          </w:p>
        </w:tc>
        <w:tc>
          <w:tcPr>
            <w:tcW w:w="767"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资金使用</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合规性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项目资金使用是否符合相关的财务管理制度规定，用以反映和考核项目资金的规范运行情况。</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①是否符合国家财经法规和财务管理制度以及有关专项资金管理办法的规定；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②资金的拨付是否有完整的审批程序和手续；</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③是否符合项目预算批复或合同规定的用途；</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④是否存在截留、挤占、挪用、虚列支出等情况。</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cs="宋体"/>
                <w:color w:val="000000"/>
                <w:kern w:val="0"/>
                <w:sz w:val="18"/>
                <w:szCs w:val="18"/>
              </w:rPr>
              <w:t>1</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767"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组织实施</w:t>
            </w:r>
          </w:p>
          <w:p>
            <w:pPr>
              <w:pageBreakBefore w:val="0"/>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管理制度</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健全性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项目实施单位的财务和业务管理制度是否健全，用以反映和考核财务和业务管理制度对项目顺利实施的保障情况。</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①是否已制定或具有相应的财务和业务管理制度；</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②财务和业务管理制度是否合法、合规、完整。</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cs="宋体"/>
                <w:color w:val="000000"/>
                <w:kern w:val="0"/>
                <w:sz w:val="18"/>
                <w:szCs w:val="18"/>
              </w:rPr>
              <w:t>1</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9"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767"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制度执行</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有效性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项目实施是否符合相关管理规定，用以反映和考核相关管理制度的有效执行情况。</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①是否遵守相关法律法规和相关管理规定；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②项目调整及支出调整手续是否完备；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③项目合同书、验收报告、技术鉴定等资料是否齐全并及时归档；</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④项目实施的人员条件、场地设备、信息支撑等是否落实到位。</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cs="宋体"/>
                <w:color w:val="000000"/>
                <w:kern w:val="0"/>
                <w:sz w:val="18"/>
                <w:szCs w:val="18"/>
              </w:rPr>
              <w:t>1</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39"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产出</w:t>
            </w:r>
          </w:p>
        </w:tc>
        <w:tc>
          <w:tcPr>
            <w:tcW w:w="767"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产出数量</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实际完成率</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项目实施的实际产出数与计划产出数的比率，用以反映和考核项目产出数量目标的实现程度。</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实际完成率=（实际产出数/计划产出数）×100%。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实际产出数：一定时期（本年度或项目期）内项目实际产出的产品或提供的服务数量。</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计划产出数：项目绩效目标确定的在一定时期（本年度或项目期）内计划产出的产品或提供的服务数量。</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cs="宋体"/>
                <w:color w:val="000000"/>
                <w:kern w:val="0"/>
                <w:sz w:val="18"/>
                <w:szCs w:val="18"/>
              </w:rPr>
              <w:t>15</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cs="宋体"/>
                <w:color w:val="000000"/>
                <w:kern w:val="0"/>
                <w:sz w:val="18"/>
                <w:szCs w:val="18"/>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9"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产出</w:t>
            </w:r>
          </w:p>
        </w:tc>
        <w:tc>
          <w:tcPr>
            <w:tcW w:w="767"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产出质量</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质量达标率</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项目完成的质量达标产出数与实际产出数的比率，用以反映和考核项目产出质量目标的实现程度。</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质量达标率=（质量达标产出数/实际产出数）×100%。</w:t>
            </w:r>
          </w:p>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cs="宋体"/>
                <w:color w:val="000000"/>
                <w:kern w:val="0"/>
                <w:sz w:val="18"/>
                <w:szCs w:val="18"/>
              </w:rPr>
              <w:t>10</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cs="宋体"/>
                <w:color w:val="000000"/>
                <w:kern w:val="0"/>
                <w:sz w:val="18"/>
                <w:szCs w:val="18"/>
                <w:lang w:val="en-US" w:eastAsia="zh-CN"/>
              </w:rPr>
              <w:t>9.835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767" w:type="dxa"/>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产出时效</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完成及时性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项目实际完成时间与计划完成时间的比较，用以反映和考核项目产出时效目标的实现程度。</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实际完成时间：项目实施单位完成该项目实际所耗用的时间。</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计划完成时间：按照项目实施计划或相关规定完成该项目所需的时间。</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cs="宋体"/>
                <w:color w:val="000000"/>
                <w:kern w:val="0"/>
                <w:sz w:val="18"/>
                <w:szCs w:val="18"/>
              </w:rPr>
              <w:t>15</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cs="宋体"/>
                <w:color w:val="000000"/>
                <w:kern w:val="0"/>
                <w:sz w:val="18"/>
                <w:szCs w:val="18"/>
                <w:lang w:val="en-US" w:eastAsia="zh-CN"/>
              </w:rPr>
              <w:t>11.55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767"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产出成本</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成本节约率</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完成项目计划工作目标的实际节约成本与计划成本的比率，用以反映和考核项目的成本节约程度。</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成本节约率=[（计划成本-实际成本）/计划成本]×100%。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实际成本：项目实施单位如期、保质、保量完成既定工作目标实际所耗费的支出。</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计划成本：项目实施单位为完成工作目标计划安排的支出，一般以项目预算为参考。</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cs="宋体"/>
                <w:color w:val="000000"/>
                <w:kern w:val="0"/>
                <w:sz w:val="18"/>
                <w:szCs w:val="18"/>
              </w:rPr>
              <w:t>10</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cs="宋体"/>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9"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效益　</w:t>
            </w:r>
          </w:p>
        </w:tc>
        <w:tc>
          <w:tcPr>
            <w:tcW w:w="767"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项目效益　</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实施效益</w:t>
            </w:r>
          </w:p>
        </w:tc>
        <w:tc>
          <w:tcPr>
            <w:tcW w:w="235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项目实施所产生的效益。</w:t>
            </w:r>
          </w:p>
        </w:tc>
        <w:tc>
          <w:tcPr>
            <w:tcW w:w="5188"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项目实施所产生的社会效益、经济效益、生态效益、可持续影响等。可根据项目实际情况有选择地设置和细化。</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cs="宋体"/>
                <w:color w:val="000000"/>
                <w:kern w:val="0"/>
                <w:sz w:val="18"/>
                <w:szCs w:val="18"/>
              </w:rPr>
              <w:t>30</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cs="宋体"/>
                <w:color w:val="000000"/>
                <w:kern w:val="0"/>
                <w:sz w:val="18"/>
                <w:szCs w:val="18"/>
                <w:lang w:val="en-US" w:eastAsia="zh-CN"/>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39"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767"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满意度</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社会公众或服务对象对项目实施效果的满意程度。</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社会公众或服务对象是指因该项目实施而受到影响的部门（单位）、群体或个人。一般采取社会调查的方式。</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cs="宋体"/>
                <w:color w:val="000000"/>
                <w:kern w:val="0"/>
                <w:sz w:val="18"/>
                <w:szCs w:val="18"/>
              </w:rPr>
              <w:t>10</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cs="宋体"/>
                <w:color w:val="000000"/>
                <w:kern w:val="0"/>
                <w:sz w:val="18"/>
                <w:szCs w:val="18"/>
                <w:lang w:val="en-US" w:eastAsia="zh-CN"/>
              </w:rPr>
              <w:t>10</w:t>
            </w:r>
          </w:p>
        </w:tc>
      </w:tr>
    </w:tbl>
    <w:p>
      <w:pPr>
        <w:rPr>
          <w:rFonts w:hint="default"/>
          <w:sz w:val="18"/>
          <w:szCs w:val="18"/>
          <w:lang w:val="en-US" w:eastAsia="zh-CN"/>
        </w:rPr>
      </w:pPr>
    </w:p>
    <w:p>
      <w:pPr>
        <w:pStyle w:val="2"/>
        <w:rPr>
          <w:rFonts w:hint="default"/>
          <w:sz w:val="18"/>
          <w:szCs w:val="18"/>
          <w:lang w:val="en-US" w:eastAsia="zh-CN"/>
        </w:rPr>
      </w:pPr>
    </w:p>
    <w:p>
      <w:pPr>
        <w:rPr>
          <w:rFonts w:hint="default"/>
          <w:sz w:val="18"/>
          <w:szCs w:val="18"/>
          <w:lang w:val="en-US" w:eastAsia="zh-CN"/>
        </w:rPr>
      </w:pPr>
    </w:p>
    <w:p>
      <w:pPr>
        <w:pStyle w:val="2"/>
        <w:rPr>
          <w:rFonts w:hint="default"/>
          <w:sz w:val="18"/>
          <w:szCs w:val="18"/>
          <w:lang w:val="en-US" w:eastAsia="zh-CN"/>
        </w:rPr>
      </w:pPr>
    </w:p>
    <w:p>
      <w:pPr>
        <w:rPr>
          <w:rFonts w:hint="default"/>
          <w:sz w:val="18"/>
          <w:szCs w:val="18"/>
          <w:lang w:val="en-US" w:eastAsia="zh-CN"/>
        </w:rPr>
      </w:pPr>
    </w:p>
    <w:p>
      <w:pPr>
        <w:pStyle w:val="2"/>
        <w:rPr>
          <w:rFonts w:hint="default"/>
          <w:sz w:val="18"/>
          <w:szCs w:val="18"/>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pStyle w:val="2"/>
        <w:jc w:val="left"/>
        <w:rPr>
          <w:rFonts w:hint="eastAsia" w:ascii="仿宋_GB2312" w:hAnsi="仿宋_GB2312" w:eastAsia="仿宋_GB2312" w:cs="仿宋_GB2312"/>
          <w:b w:val="0"/>
          <w:bCs w:val="0"/>
          <w:lang w:val="en-US" w:eastAsia="zh-CN"/>
        </w:rPr>
      </w:pPr>
      <w:r>
        <w:rPr>
          <w:rFonts w:hint="eastAsia" w:ascii="仿宋_GB2312" w:hAnsi="仿宋_GB2312" w:eastAsia="仿宋_GB2312" w:cs="仿宋_GB2312"/>
          <w:b w:val="0"/>
          <w:bCs w:val="0"/>
          <w:lang w:val="en-US" w:eastAsia="zh-CN"/>
        </w:rPr>
        <w:t>附件2</w:t>
      </w:r>
    </w:p>
    <w:p>
      <w:pPr>
        <w:rPr>
          <w:rFonts w:hint="default"/>
          <w:lang w:val="en-US" w:eastAsia="zh-CN"/>
        </w:rPr>
      </w:pPr>
    </w:p>
    <w:tbl>
      <w:tblPr>
        <w:tblStyle w:val="19"/>
        <w:tblW w:w="9051" w:type="dxa"/>
        <w:jc w:val="center"/>
        <w:tblLayout w:type="fixed"/>
        <w:tblCellMar>
          <w:top w:w="0" w:type="dxa"/>
          <w:left w:w="108" w:type="dxa"/>
          <w:bottom w:w="0" w:type="dxa"/>
          <w:right w:w="108" w:type="dxa"/>
        </w:tblCellMar>
      </w:tblPr>
      <w:tblGrid>
        <w:gridCol w:w="702"/>
        <w:gridCol w:w="703"/>
        <w:gridCol w:w="702"/>
        <w:gridCol w:w="702"/>
        <w:gridCol w:w="702"/>
        <w:gridCol w:w="703"/>
        <w:gridCol w:w="2026"/>
        <w:gridCol w:w="702"/>
        <w:gridCol w:w="703"/>
        <w:gridCol w:w="1406"/>
      </w:tblGrid>
      <w:tr>
        <w:tblPrEx>
          <w:tblCellMar>
            <w:top w:w="0" w:type="dxa"/>
            <w:left w:w="108" w:type="dxa"/>
            <w:bottom w:w="0" w:type="dxa"/>
            <w:right w:w="108" w:type="dxa"/>
          </w:tblCellMar>
        </w:tblPrEx>
        <w:trPr>
          <w:trHeight w:val="497" w:hRule="exact"/>
          <w:jc w:val="center"/>
        </w:trPr>
        <w:tc>
          <w:tcPr>
            <w:tcW w:w="9051" w:type="dxa"/>
            <w:gridSpan w:val="10"/>
            <w:tcBorders>
              <w:top w:val="nil"/>
              <w:left w:val="nil"/>
              <w:bottom w:val="nil"/>
              <w:right w:val="nil"/>
            </w:tcBorders>
            <w:vAlign w:val="center"/>
          </w:tcPr>
          <w:p>
            <w:pPr>
              <w:keepNext w:val="0"/>
              <w:keepLines w:val="0"/>
              <w:widowControl/>
              <w:suppressLineNumbers w:val="0"/>
              <w:jc w:val="center"/>
              <w:textAlignment w:val="center"/>
              <w:rPr>
                <w:rFonts w:ascii="宋体" w:hAnsi="宋体" w:cs="宋体"/>
                <w:b/>
                <w:bCs/>
                <w:kern w:val="0"/>
                <w:sz w:val="32"/>
                <w:szCs w:val="32"/>
              </w:rPr>
            </w:pPr>
            <w:r>
              <w:rPr>
                <w:rFonts w:hint="eastAsia" w:ascii="宋体" w:hAnsi="宋体" w:eastAsia="宋体" w:cs="宋体"/>
                <w:b/>
                <w:i w:val="0"/>
                <w:color w:val="000000"/>
                <w:kern w:val="0"/>
                <w:sz w:val="44"/>
                <w:szCs w:val="44"/>
                <w:u w:val="none"/>
                <w:lang w:val="en-US" w:eastAsia="zh-CN" w:bidi="ar"/>
              </w:rPr>
              <w:t>项目支出绩效自评表</w:t>
            </w:r>
          </w:p>
        </w:tc>
      </w:tr>
      <w:tr>
        <w:tblPrEx>
          <w:tblCellMar>
            <w:top w:w="0" w:type="dxa"/>
            <w:left w:w="108" w:type="dxa"/>
            <w:bottom w:w="0" w:type="dxa"/>
            <w:right w:w="108" w:type="dxa"/>
          </w:tblCellMar>
        </w:tblPrEx>
        <w:trPr>
          <w:trHeight w:val="219" w:hRule="atLeast"/>
          <w:jc w:val="center"/>
        </w:trPr>
        <w:tc>
          <w:tcPr>
            <w:tcW w:w="9051" w:type="dxa"/>
            <w:gridSpan w:val="10"/>
            <w:tcBorders>
              <w:top w:val="nil"/>
              <w:left w:val="nil"/>
              <w:bottom w:val="nil"/>
              <w:right w:val="nil"/>
            </w:tcBorders>
            <w:vAlign w:val="center"/>
          </w:tcPr>
          <w:p>
            <w:pPr>
              <w:keepNext w:val="0"/>
              <w:keepLines w:val="0"/>
              <w:widowControl/>
              <w:suppressLineNumbers w:val="0"/>
              <w:jc w:val="center"/>
              <w:textAlignment w:val="center"/>
              <w:rPr>
                <w:rFonts w:ascii="宋体" w:hAnsi="宋体" w:cs="宋体"/>
                <w:kern w:val="0"/>
                <w:sz w:val="22"/>
                <w:szCs w:val="22"/>
              </w:rPr>
            </w:pPr>
            <w:r>
              <w:rPr>
                <w:rFonts w:hint="eastAsia" w:ascii="宋体" w:hAnsi="宋体" w:eastAsia="宋体" w:cs="宋体"/>
                <w:i w:val="0"/>
                <w:color w:val="000000"/>
                <w:kern w:val="0"/>
                <w:sz w:val="32"/>
                <w:szCs w:val="32"/>
                <w:u w:val="none"/>
                <w:lang w:val="en-US" w:eastAsia="zh-CN" w:bidi="ar"/>
              </w:rPr>
              <w:t>（   2020 年度）</w:t>
            </w:r>
          </w:p>
        </w:tc>
      </w:tr>
      <w:tr>
        <w:tblPrEx>
          <w:tblCellMar>
            <w:top w:w="0" w:type="dxa"/>
            <w:left w:w="108" w:type="dxa"/>
            <w:bottom w:w="0" w:type="dxa"/>
            <w:right w:w="108" w:type="dxa"/>
          </w:tblCellMar>
        </w:tblPrEx>
        <w:trPr>
          <w:trHeight w:val="328" w:hRule="exact"/>
          <w:jc w:val="center"/>
        </w:trPr>
        <w:tc>
          <w:tcPr>
            <w:tcW w:w="9051" w:type="dxa"/>
            <w:gridSpan w:val="10"/>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r>
      <w:tr>
        <w:tblPrEx>
          <w:tblCellMar>
            <w:top w:w="0" w:type="dxa"/>
            <w:left w:w="108" w:type="dxa"/>
            <w:bottom w:w="0" w:type="dxa"/>
            <w:right w:w="108" w:type="dxa"/>
          </w:tblCellMar>
        </w:tblPrEx>
        <w:trPr>
          <w:trHeight w:val="328" w:hRule="exact"/>
          <w:jc w:val="center"/>
        </w:trPr>
        <w:tc>
          <w:tcPr>
            <w:tcW w:w="140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项目名称</w:t>
            </w:r>
          </w:p>
        </w:tc>
        <w:tc>
          <w:tcPr>
            <w:tcW w:w="7646" w:type="dxa"/>
            <w:gridSpan w:val="8"/>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3"/>
                <w:szCs w:val="13"/>
                <w:lang w:eastAsia="zh-CN"/>
              </w:rPr>
            </w:pPr>
            <w:r>
              <w:rPr>
                <w:rFonts w:hint="eastAsia" w:ascii="宋体" w:hAnsi="宋体" w:eastAsia="宋体" w:cs="宋体"/>
                <w:i w:val="0"/>
                <w:color w:val="000000"/>
                <w:kern w:val="0"/>
                <w:sz w:val="18"/>
                <w:szCs w:val="18"/>
                <w:u w:val="none"/>
                <w:lang w:val="en-US" w:eastAsia="zh-CN" w:bidi="ar"/>
              </w:rPr>
              <w:t>农机安全生产监督检查</w:t>
            </w:r>
          </w:p>
        </w:tc>
      </w:tr>
      <w:tr>
        <w:tblPrEx>
          <w:tblCellMar>
            <w:top w:w="0" w:type="dxa"/>
            <w:left w:w="108" w:type="dxa"/>
            <w:bottom w:w="0" w:type="dxa"/>
            <w:right w:w="108" w:type="dxa"/>
          </w:tblCellMar>
        </w:tblPrEx>
        <w:trPr>
          <w:trHeight w:val="328" w:hRule="exact"/>
          <w:jc w:val="center"/>
        </w:trPr>
        <w:tc>
          <w:tcPr>
            <w:tcW w:w="140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主管部门</w:t>
            </w:r>
          </w:p>
        </w:tc>
        <w:tc>
          <w:tcPr>
            <w:tcW w:w="4835" w:type="dxa"/>
            <w:gridSpan w:val="5"/>
            <w:tcBorders>
              <w:top w:val="single" w:color="auto" w:sz="4" w:space="0"/>
              <w:left w:val="nil"/>
              <w:bottom w:val="single" w:color="auto" w:sz="4" w:space="0"/>
              <w:right w:val="single" w:color="auto" w:sz="4" w:space="0"/>
            </w:tcBorders>
            <w:vAlign w:val="center"/>
          </w:tcPr>
          <w:p>
            <w:pPr>
              <w:jc w:val="center"/>
              <w:rPr>
                <w:rFonts w:ascii="宋体" w:hAnsi="宋体" w:cs="宋体"/>
                <w:kern w:val="0"/>
                <w:sz w:val="18"/>
                <w:szCs w:val="18"/>
              </w:rPr>
            </w:pPr>
          </w:p>
        </w:tc>
        <w:tc>
          <w:tcPr>
            <w:tcW w:w="1405"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实施单位</w:t>
            </w:r>
          </w:p>
        </w:tc>
        <w:tc>
          <w:tcPr>
            <w:tcW w:w="140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塔城地区农机安全监理所</w:t>
            </w:r>
          </w:p>
        </w:tc>
      </w:tr>
      <w:tr>
        <w:tblPrEx>
          <w:tblCellMar>
            <w:top w:w="0" w:type="dxa"/>
            <w:left w:w="108" w:type="dxa"/>
            <w:bottom w:w="0" w:type="dxa"/>
            <w:right w:w="108" w:type="dxa"/>
          </w:tblCellMar>
        </w:tblPrEx>
        <w:trPr>
          <w:trHeight w:val="328" w:hRule="exact"/>
          <w:jc w:val="center"/>
        </w:trPr>
        <w:tc>
          <w:tcPr>
            <w:tcW w:w="140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项目资金</w:t>
            </w:r>
          </w:p>
        </w:tc>
        <w:tc>
          <w:tcPr>
            <w:tcW w:w="702" w:type="dxa"/>
            <w:tcBorders>
              <w:top w:val="single" w:color="auto" w:sz="4" w:space="0"/>
              <w:left w:val="nil"/>
              <w:bottom w:val="single" w:color="auto" w:sz="4" w:space="0"/>
              <w:right w:val="single" w:color="auto" w:sz="4" w:space="0"/>
            </w:tcBorders>
            <w:vAlign w:val="bottom"/>
          </w:tcPr>
          <w:p>
            <w:pPr>
              <w:rPr>
                <w:rFonts w:ascii="宋体" w:hAnsi="宋体" w:cs="宋体"/>
                <w:kern w:val="0"/>
                <w:sz w:val="18"/>
                <w:szCs w:val="18"/>
              </w:rPr>
            </w:pPr>
          </w:p>
        </w:tc>
        <w:tc>
          <w:tcPr>
            <w:tcW w:w="702" w:type="dxa"/>
            <w:tcBorders>
              <w:top w:val="single" w:color="auto" w:sz="4" w:space="0"/>
              <w:left w:val="nil"/>
              <w:bottom w:val="single" w:color="auto" w:sz="4" w:space="0"/>
              <w:right w:val="single" w:color="auto" w:sz="4" w:space="0"/>
            </w:tcBorders>
            <w:vAlign w:val="bottom"/>
          </w:tcPr>
          <w:p/>
        </w:tc>
        <w:tc>
          <w:tcPr>
            <w:tcW w:w="702"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年初预算数</w:t>
            </w:r>
          </w:p>
        </w:tc>
        <w:tc>
          <w:tcPr>
            <w:tcW w:w="2729"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全年预算数</w:t>
            </w:r>
          </w:p>
        </w:tc>
        <w:tc>
          <w:tcPr>
            <w:tcW w:w="1405"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全年执行数</w:t>
            </w:r>
          </w:p>
        </w:tc>
        <w:tc>
          <w:tcPr>
            <w:tcW w:w="140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执行率</w:t>
            </w:r>
          </w:p>
        </w:tc>
      </w:tr>
      <w:tr>
        <w:tblPrEx>
          <w:tblCellMar>
            <w:top w:w="0" w:type="dxa"/>
            <w:left w:w="108" w:type="dxa"/>
            <w:bottom w:w="0" w:type="dxa"/>
            <w:right w:w="108" w:type="dxa"/>
          </w:tblCellMar>
        </w:tblPrEx>
        <w:trPr>
          <w:trHeight w:val="328" w:hRule="exact"/>
          <w:jc w:val="center"/>
        </w:trPr>
        <w:tc>
          <w:tcPr>
            <w:tcW w:w="140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（万元）</w:t>
            </w:r>
          </w:p>
        </w:tc>
        <w:tc>
          <w:tcPr>
            <w:tcW w:w="1404"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年度资金总额</w:t>
            </w:r>
          </w:p>
        </w:tc>
        <w:tc>
          <w:tcPr>
            <w:tcW w:w="702"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10</w:t>
            </w:r>
          </w:p>
        </w:tc>
        <w:tc>
          <w:tcPr>
            <w:tcW w:w="2729"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10</w:t>
            </w:r>
          </w:p>
        </w:tc>
        <w:tc>
          <w:tcPr>
            <w:tcW w:w="1405"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8.67</w:t>
            </w:r>
          </w:p>
        </w:tc>
        <w:tc>
          <w:tcPr>
            <w:tcW w:w="140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86.70%</w:t>
            </w:r>
          </w:p>
        </w:tc>
      </w:tr>
      <w:tr>
        <w:tblPrEx>
          <w:tblCellMar>
            <w:top w:w="0" w:type="dxa"/>
            <w:left w:w="108" w:type="dxa"/>
            <w:bottom w:w="0" w:type="dxa"/>
            <w:right w:w="108" w:type="dxa"/>
          </w:tblCellMar>
        </w:tblPrEx>
        <w:trPr>
          <w:trHeight w:val="328" w:hRule="exact"/>
          <w:jc w:val="center"/>
        </w:trPr>
        <w:tc>
          <w:tcPr>
            <w:tcW w:w="140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1404"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其中：当年财政拨款</w:t>
            </w:r>
          </w:p>
        </w:tc>
        <w:tc>
          <w:tcPr>
            <w:tcW w:w="702"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kern w:val="0"/>
                <w:sz w:val="18"/>
                <w:szCs w:val="18"/>
                <w:lang w:val="en-US" w:eastAsia="zh-CN"/>
              </w:rPr>
            </w:pPr>
            <w:r>
              <w:rPr>
                <w:rFonts w:hint="eastAsia" w:ascii="宋体" w:hAnsi="宋体" w:eastAsia="宋体" w:cs="宋体"/>
                <w:i w:val="0"/>
                <w:color w:val="000000"/>
                <w:kern w:val="0"/>
                <w:sz w:val="18"/>
                <w:szCs w:val="18"/>
                <w:u w:val="none"/>
                <w:lang w:val="en-US" w:eastAsia="zh-CN" w:bidi="ar"/>
              </w:rPr>
              <w:t>10.00</w:t>
            </w:r>
          </w:p>
        </w:tc>
        <w:tc>
          <w:tcPr>
            <w:tcW w:w="2729"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kern w:val="0"/>
                <w:sz w:val="18"/>
                <w:szCs w:val="18"/>
                <w:lang w:val="en-US" w:eastAsia="zh-CN"/>
              </w:rPr>
            </w:pPr>
            <w:r>
              <w:rPr>
                <w:rFonts w:hint="eastAsia" w:ascii="宋体" w:hAnsi="宋体" w:eastAsia="宋体" w:cs="宋体"/>
                <w:i w:val="0"/>
                <w:color w:val="000000"/>
                <w:kern w:val="0"/>
                <w:sz w:val="18"/>
                <w:szCs w:val="18"/>
                <w:u w:val="none"/>
                <w:lang w:val="en-US" w:eastAsia="zh-CN" w:bidi="ar"/>
              </w:rPr>
              <w:t>10.00</w:t>
            </w:r>
          </w:p>
        </w:tc>
        <w:tc>
          <w:tcPr>
            <w:tcW w:w="1405"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8.67</w:t>
            </w:r>
          </w:p>
        </w:tc>
        <w:tc>
          <w:tcPr>
            <w:tcW w:w="140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w:t>
            </w:r>
          </w:p>
        </w:tc>
      </w:tr>
      <w:tr>
        <w:tblPrEx>
          <w:tblCellMar>
            <w:top w:w="0" w:type="dxa"/>
            <w:left w:w="108" w:type="dxa"/>
            <w:bottom w:w="0" w:type="dxa"/>
            <w:right w:w="108" w:type="dxa"/>
          </w:tblCellMar>
        </w:tblPrEx>
        <w:trPr>
          <w:trHeight w:val="328" w:hRule="exact"/>
          <w:jc w:val="center"/>
        </w:trPr>
        <w:tc>
          <w:tcPr>
            <w:tcW w:w="140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1404"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 xml:space="preserve">      上年结转资金</w:t>
            </w:r>
          </w:p>
        </w:tc>
        <w:tc>
          <w:tcPr>
            <w:tcW w:w="702" w:type="dxa"/>
            <w:tcBorders>
              <w:top w:val="nil"/>
              <w:left w:val="nil"/>
              <w:bottom w:val="single" w:color="auto" w:sz="4" w:space="0"/>
              <w:right w:val="single" w:color="auto" w:sz="4" w:space="0"/>
            </w:tcBorders>
            <w:vAlign w:val="center"/>
          </w:tcPr>
          <w:p>
            <w:pPr>
              <w:jc w:val="center"/>
              <w:rPr>
                <w:rFonts w:hint="eastAsia" w:ascii="宋体" w:hAnsi="宋体" w:eastAsia="宋体" w:cs="宋体"/>
                <w:kern w:val="0"/>
                <w:sz w:val="18"/>
                <w:szCs w:val="18"/>
                <w:lang w:val="en-US" w:eastAsia="zh-CN"/>
              </w:rPr>
            </w:pPr>
          </w:p>
        </w:tc>
        <w:tc>
          <w:tcPr>
            <w:tcW w:w="2729"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lang w:val="en-US" w:eastAsia="zh-CN"/>
              </w:rPr>
            </w:pPr>
            <w:r>
              <w:rPr>
                <w:rFonts w:hint="eastAsia" w:ascii="宋体" w:hAnsi="宋体" w:eastAsia="宋体" w:cs="宋体"/>
                <w:i w:val="0"/>
                <w:color w:val="000000"/>
                <w:kern w:val="0"/>
                <w:sz w:val="18"/>
                <w:szCs w:val="18"/>
                <w:u w:val="none"/>
                <w:lang w:val="en-US" w:eastAsia="zh-CN" w:bidi="ar"/>
              </w:rPr>
              <w:t>0</w:t>
            </w:r>
          </w:p>
        </w:tc>
        <w:tc>
          <w:tcPr>
            <w:tcW w:w="1405"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0</w:t>
            </w:r>
          </w:p>
        </w:tc>
        <w:tc>
          <w:tcPr>
            <w:tcW w:w="140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w:t>
            </w:r>
          </w:p>
        </w:tc>
      </w:tr>
      <w:tr>
        <w:tblPrEx>
          <w:tblCellMar>
            <w:top w:w="0" w:type="dxa"/>
            <w:left w:w="108" w:type="dxa"/>
            <w:bottom w:w="0" w:type="dxa"/>
            <w:right w:w="108" w:type="dxa"/>
          </w:tblCellMar>
        </w:tblPrEx>
        <w:trPr>
          <w:trHeight w:val="328" w:hRule="exact"/>
          <w:jc w:val="center"/>
        </w:trPr>
        <w:tc>
          <w:tcPr>
            <w:tcW w:w="1405" w:type="dxa"/>
            <w:gridSpan w:val="2"/>
            <w:tcBorders>
              <w:top w:val="nil"/>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1404"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 xml:space="preserve">  其他资金</w:t>
            </w:r>
          </w:p>
        </w:tc>
        <w:tc>
          <w:tcPr>
            <w:tcW w:w="702"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0</w:t>
            </w:r>
          </w:p>
        </w:tc>
        <w:tc>
          <w:tcPr>
            <w:tcW w:w="2729"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0</w:t>
            </w:r>
          </w:p>
        </w:tc>
        <w:tc>
          <w:tcPr>
            <w:tcW w:w="1405"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0</w:t>
            </w:r>
          </w:p>
        </w:tc>
        <w:tc>
          <w:tcPr>
            <w:tcW w:w="140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w:t>
            </w:r>
          </w:p>
        </w:tc>
      </w:tr>
      <w:tr>
        <w:tblPrEx>
          <w:tblCellMar>
            <w:top w:w="0" w:type="dxa"/>
            <w:left w:w="108" w:type="dxa"/>
            <w:bottom w:w="0" w:type="dxa"/>
            <w:right w:w="108" w:type="dxa"/>
          </w:tblCellMar>
        </w:tblPrEx>
        <w:trPr>
          <w:trHeight w:val="1367" w:hRule="exact"/>
          <w:jc w:val="center"/>
        </w:trPr>
        <w:tc>
          <w:tcPr>
            <w:tcW w:w="702"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年度总体目标</w:t>
            </w:r>
          </w:p>
        </w:tc>
        <w:tc>
          <w:tcPr>
            <w:tcW w:w="5538" w:type="dxa"/>
            <w:gridSpan w:val="6"/>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预期目标</w:t>
            </w:r>
          </w:p>
        </w:tc>
        <w:tc>
          <w:tcPr>
            <w:tcW w:w="2811" w:type="dxa"/>
            <w:gridSpan w:val="3"/>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实际完成情况</w:t>
            </w:r>
          </w:p>
        </w:tc>
      </w:tr>
      <w:tr>
        <w:tblPrEx>
          <w:tblCellMar>
            <w:top w:w="0" w:type="dxa"/>
            <w:left w:w="108" w:type="dxa"/>
            <w:bottom w:w="0" w:type="dxa"/>
            <w:right w:w="108" w:type="dxa"/>
          </w:tblCellMar>
        </w:tblPrEx>
        <w:trPr>
          <w:trHeight w:val="3517" w:hRule="exact"/>
          <w:jc w:val="center"/>
        </w:trPr>
        <w:tc>
          <w:tcPr>
            <w:tcW w:w="702" w:type="dxa"/>
            <w:vMerge w:val="continue"/>
            <w:tcBorders>
              <w:top w:val="nil"/>
              <w:left w:val="single" w:color="auto" w:sz="4" w:space="0"/>
              <w:right w:val="single" w:color="auto" w:sz="4" w:space="0"/>
            </w:tcBorders>
            <w:vAlign w:val="center"/>
          </w:tcPr>
          <w:p>
            <w:pPr>
              <w:jc w:val="center"/>
              <w:rPr>
                <w:rFonts w:ascii="宋体" w:hAnsi="宋体" w:cs="宋体"/>
                <w:kern w:val="0"/>
                <w:sz w:val="18"/>
                <w:szCs w:val="18"/>
              </w:rPr>
            </w:pPr>
          </w:p>
        </w:tc>
        <w:tc>
          <w:tcPr>
            <w:tcW w:w="5538" w:type="dxa"/>
            <w:gridSpan w:val="6"/>
            <w:tcBorders>
              <w:top w:val="nil"/>
              <w:left w:val="nil"/>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加大检查力度，预防和减少农机事故的发生，确保农业机械以良好的技术状态投入农业生产，为我区农业增效，农民增收提供安全保障。</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1、开展安全生产检查。</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2、织开展县市农机安全监理人员执法培训。</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3、完成农业机械驾驶人员持证、农业机械上户率及检验。</w:t>
            </w:r>
          </w:p>
        </w:tc>
        <w:tc>
          <w:tcPr>
            <w:tcW w:w="2811" w:type="dxa"/>
            <w:gridSpan w:val="3"/>
            <w:tcBorders>
              <w:top w:val="nil"/>
              <w:left w:val="nil"/>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加大检查力度，预防和减少农机事故的发生，确保农业机械以良好的技术状态投入农业生产，为我区农业增效，农民增收提供安全保障。</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1、开展安全生产检查。</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2、织开展县市农机安全监理人员执法培训。</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3、完成农业机械驾驶人员持证、农业机械上户率及检验。</w:t>
            </w:r>
          </w:p>
        </w:tc>
      </w:tr>
      <w:tr>
        <w:tblPrEx>
          <w:tblCellMar>
            <w:top w:w="0" w:type="dxa"/>
            <w:left w:w="108" w:type="dxa"/>
            <w:bottom w:w="0" w:type="dxa"/>
            <w:right w:w="108" w:type="dxa"/>
          </w:tblCellMar>
        </w:tblPrEx>
        <w:trPr>
          <w:trHeight w:val="581" w:hRule="exact"/>
          <w:jc w:val="center"/>
        </w:trPr>
        <w:tc>
          <w:tcPr>
            <w:tcW w:w="702" w:type="dxa"/>
            <w:tcBorders>
              <w:left w:val="single" w:color="auto" w:sz="4" w:space="0"/>
              <w:right w:val="single" w:color="auto" w:sz="4" w:space="0"/>
            </w:tcBorders>
            <w:vAlign w:val="center"/>
          </w:tcPr>
          <w:p>
            <w:pPr>
              <w:jc w:val="center"/>
              <w:rPr>
                <w:rFonts w:ascii="宋体" w:hAnsi="宋体" w:cs="宋体"/>
                <w:kern w:val="0"/>
                <w:sz w:val="18"/>
                <w:szCs w:val="18"/>
              </w:rPr>
            </w:pPr>
          </w:p>
        </w:tc>
        <w:tc>
          <w:tcPr>
            <w:tcW w:w="70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一级指标</w:t>
            </w:r>
          </w:p>
        </w:tc>
        <w:tc>
          <w:tcPr>
            <w:tcW w:w="702"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二级指标</w:t>
            </w:r>
          </w:p>
        </w:tc>
        <w:tc>
          <w:tcPr>
            <w:tcW w:w="2107" w:type="dxa"/>
            <w:gridSpan w:val="3"/>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三级指标</w:t>
            </w:r>
          </w:p>
        </w:tc>
        <w:tc>
          <w:tcPr>
            <w:tcW w:w="2026"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年度指标值</w:t>
            </w:r>
          </w:p>
        </w:tc>
        <w:tc>
          <w:tcPr>
            <w:tcW w:w="702"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实际完成值</w:t>
            </w:r>
          </w:p>
        </w:tc>
        <w:tc>
          <w:tcPr>
            <w:tcW w:w="703"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分值</w:t>
            </w:r>
          </w:p>
        </w:tc>
        <w:tc>
          <w:tcPr>
            <w:tcW w:w="1406"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偏差原因分析及改进措施</w:t>
            </w:r>
          </w:p>
        </w:tc>
      </w:tr>
      <w:tr>
        <w:tblPrEx>
          <w:tblCellMar>
            <w:top w:w="0" w:type="dxa"/>
            <w:left w:w="108" w:type="dxa"/>
            <w:bottom w:w="0" w:type="dxa"/>
            <w:right w:w="108" w:type="dxa"/>
          </w:tblCellMar>
        </w:tblPrEx>
        <w:trPr>
          <w:trHeight w:val="587" w:hRule="exact"/>
          <w:jc w:val="center"/>
        </w:trPr>
        <w:tc>
          <w:tcPr>
            <w:tcW w:w="702" w:type="dxa"/>
            <w:vMerge w:val="restart"/>
            <w:tcBorders>
              <w:left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年度绩效指标完成情况</w:t>
            </w:r>
          </w:p>
        </w:tc>
        <w:tc>
          <w:tcPr>
            <w:tcW w:w="703"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产出指标</w:t>
            </w:r>
          </w:p>
        </w:tc>
        <w:tc>
          <w:tcPr>
            <w:tcW w:w="702" w:type="dxa"/>
            <w:vMerge w:val="restart"/>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数量指标</w:t>
            </w:r>
          </w:p>
        </w:tc>
        <w:tc>
          <w:tcPr>
            <w:tcW w:w="2107" w:type="dxa"/>
            <w:gridSpan w:val="3"/>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农机安全生产执法检查次数</w:t>
            </w:r>
          </w:p>
        </w:tc>
        <w:tc>
          <w:tcPr>
            <w:tcW w:w="2026"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≥6次</w:t>
            </w:r>
          </w:p>
        </w:tc>
        <w:tc>
          <w:tcPr>
            <w:tcW w:w="702"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6次</w:t>
            </w:r>
          </w:p>
        </w:tc>
        <w:tc>
          <w:tcPr>
            <w:tcW w:w="703"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7.14</w:t>
            </w:r>
          </w:p>
        </w:tc>
        <w:tc>
          <w:tcPr>
            <w:tcW w:w="1406" w:type="dxa"/>
            <w:tcBorders>
              <w:top w:val="nil"/>
              <w:left w:val="nil"/>
              <w:bottom w:val="single" w:color="auto" w:sz="4" w:space="0"/>
              <w:right w:val="single" w:color="auto" w:sz="4" w:space="0"/>
            </w:tcBorders>
            <w:vAlign w:val="bottom"/>
          </w:tcPr>
          <w:p>
            <w:pPr>
              <w:jc w:val="center"/>
            </w:pPr>
          </w:p>
        </w:tc>
      </w:tr>
      <w:tr>
        <w:tblPrEx>
          <w:tblCellMar>
            <w:top w:w="0" w:type="dxa"/>
            <w:left w:w="108" w:type="dxa"/>
            <w:bottom w:w="0" w:type="dxa"/>
            <w:right w:w="108" w:type="dxa"/>
          </w:tblCellMar>
        </w:tblPrEx>
        <w:trPr>
          <w:trHeight w:val="699" w:hRule="exact"/>
          <w:jc w:val="center"/>
        </w:trPr>
        <w:tc>
          <w:tcPr>
            <w:tcW w:w="702" w:type="dxa"/>
            <w:vMerge w:val="continue"/>
            <w:tcBorders>
              <w:left w:val="single" w:color="auto" w:sz="4" w:space="0"/>
              <w:right w:val="single" w:color="auto" w:sz="4" w:space="0"/>
            </w:tcBorders>
            <w:vAlign w:val="center"/>
          </w:tcPr>
          <w:p>
            <w:pPr>
              <w:jc w:val="center"/>
              <w:rPr>
                <w:rFonts w:ascii="宋体" w:hAnsi="宋体" w:cs="宋体"/>
                <w:kern w:val="0"/>
                <w:sz w:val="18"/>
                <w:szCs w:val="18"/>
              </w:rPr>
            </w:pPr>
          </w:p>
        </w:tc>
        <w:tc>
          <w:tcPr>
            <w:tcW w:w="703"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702" w:type="dxa"/>
            <w:vMerge w:val="continue"/>
            <w:tcBorders>
              <w:top w:val="single" w:color="auto" w:sz="4" w:space="0"/>
              <w:left w:val="nil"/>
              <w:bottom w:val="single" w:color="auto" w:sz="4" w:space="0"/>
              <w:right w:val="single" w:color="auto" w:sz="4" w:space="0"/>
            </w:tcBorders>
            <w:vAlign w:val="center"/>
          </w:tcPr>
          <w:p>
            <w:pPr>
              <w:jc w:val="center"/>
              <w:rPr>
                <w:rFonts w:ascii="宋体" w:hAnsi="宋体" w:cs="宋体"/>
                <w:color w:val="000000"/>
                <w:kern w:val="0"/>
                <w:sz w:val="18"/>
                <w:szCs w:val="18"/>
              </w:rPr>
            </w:pPr>
          </w:p>
        </w:tc>
        <w:tc>
          <w:tcPr>
            <w:tcW w:w="2107" w:type="dxa"/>
            <w:gridSpan w:val="3"/>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执法培训次数</w:t>
            </w:r>
          </w:p>
        </w:tc>
        <w:tc>
          <w:tcPr>
            <w:tcW w:w="2026"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≥1次</w:t>
            </w:r>
          </w:p>
        </w:tc>
        <w:tc>
          <w:tcPr>
            <w:tcW w:w="702"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1次</w:t>
            </w:r>
          </w:p>
        </w:tc>
        <w:tc>
          <w:tcPr>
            <w:tcW w:w="703"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7.14</w:t>
            </w:r>
          </w:p>
        </w:tc>
        <w:tc>
          <w:tcPr>
            <w:tcW w:w="140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328" w:hRule="exact"/>
          <w:jc w:val="center"/>
        </w:trPr>
        <w:tc>
          <w:tcPr>
            <w:tcW w:w="702" w:type="dxa"/>
            <w:vMerge w:val="continue"/>
            <w:tcBorders>
              <w:left w:val="single" w:color="auto" w:sz="4" w:space="0"/>
              <w:right w:val="single" w:color="auto" w:sz="4" w:space="0"/>
            </w:tcBorders>
            <w:vAlign w:val="center"/>
          </w:tcPr>
          <w:p>
            <w:pPr>
              <w:jc w:val="center"/>
              <w:rPr>
                <w:rFonts w:ascii="宋体" w:hAnsi="宋体" w:cs="宋体"/>
                <w:kern w:val="0"/>
                <w:sz w:val="18"/>
                <w:szCs w:val="18"/>
              </w:rPr>
            </w:pPr>
          </w:p>
        </w:tc>
        <w:tc>
          <w:tcPr>
            <w:tcW w:w="703"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702" w:type="dxa"/>
            <w:vMerge w:val="continue"/>
            <w:tcBorders>
              <w:top w:val="single" w:color="auto" w:sz="4" w:space="0"/>
              <w:left w:val="nil"/>
              <w:bottom w:val="single" w:color="auto" w:sz="4" w:space="0"/>
              <w:right w:val="single" w:color="auto" w:sz="4" w:space="0"/>
            </w:tcBorders>
            <w:vAlign w:val="center"/>
          </w:tcPr>
          <w:p>
            <w:pPr>
              <w:jc w:val="center"/>
              <w:rPr>
                <w:rFonts w:ascii="宋体" w:hAnsi="宋体" w:cs="宋体"/>
                <w:color w:val="000000"/>
                <w:kern w:val="0"/>
                <w:sz w:val="18"/>
                <w:szCs w:val="18"/>
              </w:rPr>
            </w:pPr>
          </w:p>
        </w:tc>
        <w:tc>
          <w:tcPr>
            <w:tcW w:w="2107" w:type="dxa"/>
            <w:gridSpan w:val="3"/>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 xml:space="preserve">宣传教育印刷资料 </w:t>
            </w:r>
          </w:p>
        </w:tc>
        <w:tc>
          <w:tcPr>
            <w:tcW w:w="2026"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≥100册</w:t>
            </w:r>
          </w:p>
        </w:tc>
        <w:tc>
          <w:tcPr>
            <w:tcW w:w="702"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100册</w:t>
            </w:r>
          </w:p>
        </w:tc>
        <w:tc>
          <w:tcPr>
            <w:tcW w:w="703"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lang w:eastAsia="zh-CN"/>
              </w:rPr>
            </w:pPr>
            <w:r>
              <w:rPr>
                <w:rFonts w:hint="eastAsia" w:ascii="宋体" w:hAnsi="宋体" w:eastAsia="宋体" w:cs="宋体"/>
                <w:i w:val="0"/>
                <w:color w:val="000000"/>
                <w:kern w:val="0"/>
                <w:sz w:val="18"/>
                <w:szCs w:val="18"/>
                <w:u w:val="none"/>
                <w:lang w:val="en-US" w:eastAsia="zh-CN" w:bidi="ar"/>
              </w:rPr>
              <w:t>7.14</w:t>
            </w:r>
          </w:p>
        </w:tc>
        <w:tc>
          <w:tcPr>
            <w:tcW w:w="140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93" w:hRule="atLeast"/>
          <w:jc w:val="center"/>
        </w:trPr>
        <w:tc>
          <w:tcPr>
            <w:tcW w:w="702" w:type="dxa"/>
            <w:vMerge w:val="continue"/>
            <w:tcBorders>
              <w:left w:val="single" w:color="auto" w:sz="4" w:space="0"/>
              <w:right w:val="single" w:color="auto" w:sz="4" w:space="0"/>
            </w:tcBorders>
            <w:vAlign w:val="center"/>
          </w:tcPr>
          <w:p>
            <w:pPr>
              <w:jc w:val="center"/>
              <w:rPr>
                <w:rFonts w:ascii="宋体" w:hAnsi="宋体" w:cs="宋体"/>
                <w:kern w:val="0"/>
                <w:sz w:val="18"/>
                <w:szCs w:val="18"/>
              </w:rPr>
            </w:pPr>
          </w:p>
        </w:tc>
        <w:tc>
          <w:tcPr>
            <w:tcW w:w="703"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702" w:type="dxa"/>
            <w:vMerge w:val="restart"/>
            <w:tcBorders>
              <w:top w:val="single" w:color="auto" w:sz="4" w:space="0"/>
              <w:left w:val="nil"/>
              <w:right w:val="single" w:color="auto" w:sz="4" w:space="0"/>
            </w:tcBorders>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质量指标</w:t>
            </w:r>
          </w:p>
        </w:tc>
        <w:tc>
          <w:tcPr>
            <w:tcW w:w="2107" w:type="dxa"/>
            <w:gridSpan w:val="3"/>
            <w:tcBorders>
              <w:top w:val="single" w:color="auto" w:sz="4" w:space="0"/>
              <w:left w:val="nil"/>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农业机械驾驶人员持证人数</w:t>
            </w:r>
          </w:p>
        </w:tc>
        <w:tc>
          <w:tcPr>
            <w:tcW w:w="202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≥55000人</w:t>
            </w:r>
          </w:p>
        </w:tc>
        <w:tc>
          <w:tcPr>
            <w:tcW w:w="702"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54095人</w:t>
            </w:r>
          </w:p>
        </w:tc>
        <w:tc>
          <w:tcPr>
            <w:tcW w:w="703"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7.14</w:t>
            </w:r>
          </w:p>
        </w:tc>
        <w:tc>
          <w:tcPr>
            <w:tcW w:w="140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受</w:t>
            </w:r>
            <w:r>
              <w:rPr>
                <w:rFonts w:hint="eastAsia" w:ascii="宋体" w:hAnsi="宋体" w:cs="宋体"/>
                <w:i w:val="0"/>
                <w:color w:val="000000"/>
                <w:kern w:val="0"/>
                <w:sz w:val="18"/>
                <w:szCs w:val="18"/>
                <w:u w:val="none"/>
                <w:lang w:val="en-US" w:eastAsia="zh-CN" w:bidi="ar"/>
              </w:rPr>
              <w:t>传染病防控的</w:t>
            </w:r>
            <w:r>
              <w:rPr>
                <w:rFonts w:hint="eastAsia" w:ascii="宋体" w:hAnsi="宋体" w:eastAsia="宋体" w:cs="宋体"/>
                <w:i w:val="0"/>
                <w:color w:val="000000"/>
                <w:kern w:val="0"/>
                <w:sz w:val="18"/>
                <w:szCs w:val="18"/>
                <w:u w:val="none"/>
                <w:lang w:val="en-US" w:eastAsia="zh-CN" w:bidi="ar"/>
              </w:rPr>
              <w:t>影响，人员县市流通受限</w:t>
            </w:r>
          </w:p>
        </w:tc>
      </w:tr>
      <w:tr>
        <w:tblPrEx>
          <w:tblCellMar>
            <w:top w:w="0" w:type="dxa"/>
            <w:left w:w="108" w:type="dxa"/>
            <w:bottom w:w="0" w:type="dxa"/>
            <w:right w:w="108" w:type="dxa"/>
          </w:tblCellMar>
        </w:tblPrEx>
        <w:trPr>
          <w:trHeight w:val="297" w:hRule="atLeast"/>
          <w:jc w:val="center"/>
        </w:trPr>
        <w:tc>
          <w:tcPr>
            <w:tcW w:w="702" w:type="dxa"/>
            <w:vMerge w:val="continue"/>
            <w:tcBorders>
              <w:left w:val="single" w:color="auto" w:sz="4" w:space="0"/>
              <w:right w:val="single" w:color="auto" w:sz="4" w:space="0"/>
            </w:tcBorders>
            <w:vAlign w:val="center"/>
          </w:tcPr>
          <w:p>
            <w:pPr>
              <w:jc w:val="center"/>
              <w:rPr>
                <w:rFonts w:ascii="宋体" w:hAnsi="宋体" w:cs="宋体"/>
                <w:kern w:val="0"/>
                <w:sz w:val="18"/>
                <w:szCs w:val="18"/>
              </w:rPr>
            </w:pPr>
          </w:p>
        </w:tc>
        <w:tc>
          <w:tcPr>
            <w:tcW w:w="703"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702" w:type="dxa"/>
            <w:vMerge w:val="continue"/>
            <w:tcBorders>
              <w:top w:val="single" w:color="auto" w:sz="4" w:space="0"/>
              <w:left w:val="nil"/>
              <w:right w:val="single" w:color="auto" w:sz="4" w:space="0"/>
            </w:tcBorders>
            <w:vAlign w:val="center"/>
          </w:tcPr>
          <w:p>
            <w:pPr>
              <w:jc w:val="center"/>
              <w:rPr>
                <w:rFonts w:hint="default" w:ascii="宋体" w:hAnsi="宋体" w:eastAsia="宋体" w:cs="宋体"/>
                <w:color w:val="000000"/>
                <w:kern w:val="0"/>
                <w:sz w:val="18"/>
                <w:szCs w:val="18"/>
                <w:lang w:val="en-US" w:eastAsia="zh-CN"/>
              </w:rPr>
            </w:pPr>
          </w:p>
        </w:tc>
        <w:tc>
          <w:tcPr>
            <w:tcW w:w="2107" w:type="dxa"/>
            <w:gridSpan w:val="3"/>
            <w:tcBorders>
              <w:top w:val="single" w:color="auto" w:sz="4" w:space="0"/>
              <w:left w:val="nil"/>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农业机械上户台数</w:t>
            </w:r>
          </w:p>
        </w:tc>
        <w:tc>
          <w:tcPr>
            <w:tcW w:w="202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kern w:val="0"/>
                <w:sz w:val="18"/>
                <w:szCs w:val="18"/>
                <w:lang w:val="en-US" w:eastAsia="zh-CN"/>
              </w:rPr>
            </w:pPr>
            <w:r>
              <w:rPr>
                <w:rFonts w:hint="eastAsia" w:ascii="宋体" w:hAnsi="宋体" w:eastAsia="宋体" w:cs="宋体"/>
                <w:i w:val="0"/>
                <w:color w:val="000000"/>
                <w:kern w:val="0"/>
                <w:sz w:val="18"/>
                <w:szCs w:val="18"/>
                <w:u w:val="none"/>
                <w:lang w:val="en-US" w:eastAsia="zh-CN" w:bidi="ar"/>
              </w:rPr>
              <w:t>≥55000台</w:t>
            </w:r>
          </w:p>
        </w:tc>
        <w:tc>
          <w:tcPr>
            <w:tcW w:w="702"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65785台</w:t>
            </w:r>
          </w:p>
        </w:tc>
        <w:tc>
          <w:tcPr>
            <w:tcW w:w="703"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7.14</w:t>
            </w:r>
          </w:p>
        </w:tc>
        <w:tc>
          <w:tcPr>
            <w:tcW w:w="140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农民增收，使得购买力提高</w:t>
            </w:r>
          </w:p>
        </w:tc>
      </w:tr>
      <w:tr>
        <w:tblPrEx>
          <w:tblCellMar>
            <w:top w:w="0" w:type="dxa"/>
            <w:left w:w="108" w:type="dxa"/>
            <w:bottom w:w="0" w:type="dxa"/>
            <w:right w:w="108" w:type="dxa"/>
          </w:tblCellMar>
        </w:tblPrEx>
        <w:trPr>
          <w:trHeight w:val="286" w:hRule="atLeast"/>
          <w:jc w:val="center"/>
        </w:trPr>
        <w:tc>
          <w:tcPr>
            <w:tcW w:w="702" w:type="dxa"/>
            <w:vMerge w:val="continue"/>
            <w:tcBorders>
              <w:left w:val="single" w:color="auto" w:sz="4" w:space="0"/>
              <w:right w:val="single" w:color="auto" w:sz="4" w:space="0"/>
            </w:tcBorders>
            <w:vAlign w:val="center"/>
          </w:tcPr>
          <w:p>
            <w:pPr>
              <w:jc w:val="center"/>
              <w:rPr>
                <w:rFonts w:ascii="宋体" w:hAnsi="宋体" w:cs="宋体"/>
                <w:kern w:val="0"/>
                <w:sz w:val="18"/>
                <w:szCs w:val="18"/>
              </w:rPr>
            </w:pPr>
          </w:p>
        </w:tc>
        <w:tc>
          <w:tcPr>
            <w:tcW w:w="703"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702" w:type="dxa"/>
            <w:tcBorders>
              <w:top w:val="single" w:color="auto" w:sz="4" w:space="0"/>
              <w:left w:val="nil"/>
              <w:right w:val="single" w:color="auto" w:sz="4" w:space="0"/>
            </w:tcBorders>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时效指标</w:t>
            </w:r>
          </w:p>
        </w:tc>
        <w:tc>
          <w:tcPr>
            <w:tcW w:w="2107" w:type="dxa"/>
            <w:gridSpan w:val="3"/>
            <w:tcBorders>
              <w:top w:val="single" w:color="auto" w:sz="4" w:space="0"/>
              <w:left w:val="nil"/>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农机检验及时率</w:t>
            </w:r>
          </w:p>
        </w:tc>
        <w:tc>
          <w:tcPr>
            <w:tcW w:w="202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=100%</w:t>
            </w:r>
          </w:p>
        </w:tc>
        <w:tc>
          <w:tcPr>
            <w:tcW w:w="702"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100%</w:t>
            </w:r>
          </w:p>
        </w:tc>
        <w:tc>
          <w:tcPr>
            <w:tcW w:w="703"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7.14</w:t>
            </w:r>
          </w:p>
        </w:tc>
        <w:tc>
          <w:tcPr>
            <w:tcW w:w="1406" w:type="dxa"/>
            <w:tcBorders>
              <w:top w:val="single" w:color="auto" w:sz="4" w:space="0"/>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473" w:hRule="atLeast"/>
          <w:jc w:val="center"/>
        </w:trPr>
        <w:tc>
          <w:tcPr>
            <w:tcW w:w="702" w:type="dxa"/>
            <w:vMerge w:val="continue"/>
            <w:tcBorders>
              <w:left w:val="single" w:color="auto" w:sz="4" w:space="0"/>
              <w:right w:val="single" w:color="auto" w:sz="4" w:space="0"/>
            </w:tcBorders>
            <w:vAlign w:val="center"/>
          </w:tcPr>
          <w:p>
            <w:pPr>
              <w:jc w:val="center"/>
              <w:rPr>
                <w:rFonts w:ascii="宋体" w:hAnsi="宋体" w:cs="宋体"/>
                <w:kern w:val="0"/>
                <w:sz w:val="18"/>
                <w:szCs w:val="18"/>
              </w:rPr>
            </w:pPr>
          </w:p>
        </w:tc>
        <w:tc>
          <w:tcPr>
            <w:tcW w:w="70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702" w:type="dxa"/>
            <w:tcBorders>
              <w:top w:val="single" w:color="auto" w:sz="4" w:space="0"/>
              <w:left w:val="nil"/>
              <w:right w:val="single" w:color="auto" w:sz="4" w:space="0"/>
            </w:tcBorders>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成本指标</w:t>
            </w:r>
          </w:p>
        </w:tc>
        <w:tc>
          <w:tcPr>
            <w:tcW w:w="2107" w:type="dxa"/>
            <w:gridSpan w:val="3"/>
            <w:tcBorders>
              <w:top w:val="single" w:color="auto" w:sz="4" w:space="0"/>
              <w:left w:val="nil"/>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开展各项工作成本</w:t>
            </w:r>
          </w:p>
        </w:tc>
        <w:tc>
          <w:tcPr>
            <w:tcW w:w="2026" w:type="dxa"/>
            <w:tcBorders>
              <w:top w:val="single" w:color="auto" w:sz="4" w:space="0"/>
              <w:left w:val="nil"/>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≤10万元</w:t>
            </w:r>
          </w:p>
        </w:tc>
        <w:tc>
          <w:tcPr>
            <w:tcW w:w="702" w:type="dxa"/>
            <w:tcBorders>
              <w:top w:val="single" w:color="auto" w:sz="4" w:space="0"/>
              <w:left w:val="nil"/>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8.6701万元</w:t>
            </w:r>
          </w:p>
        </w:tc>
        <w:tc>
          <w:tcPr>
            <w:tcW w:w="703" w:type="dxa"/>
            <w:tcBorders>
              <w:top w:val="single" w:color="auto" w:sz="4" w:space="0"/>
              <w:left w:val="nil"/>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7.16</w:t>
            </w:r>
          </w:p>
        </w:tc>
        <w:tc>
          <w:tcPr>
            <w:tcW w:w="1406" w:type="dxa"/>
            <w:tcBorders>
              <w:top w:val="single" w:color="auto" w:sz="4" w:space="0"/>
              <w:left w:val="nil"/>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受</w:t>
            </w:r>
            <w:r>
              <w:rPr>
                <w:rFonts w:hint="eastAsia" w:ascii="宋体" w:hAnsi="宋体" w:cs="宋体"/>
                <w:i w:val="0"/>
                <w:color w:val="000000"/>
                <w:kern w:val="0"/>
                <w:sz w:val="18"/>
                <w:szCs w:val="18"/>
                <w:u w:val="none"/>
                <w:lang w:val="en-US" w:eastAsia="zh-CN" w:bidi="ar"/>
              </w:rPr>
              <w:t>传染病防控的</w:t>
            </w:r>
            <w:bookmarkStart w:id="2" w:name="_GoBack"/>
            <w:bookmarkEnd w:id="2"/>
            <w:r>
              <w:rPr>
                <w:rFonts w:hint="eastAsia" w:ascii="宋体" w:hAnsi="宋体" w:eastAsia="宋体" w:cs="宋体"/>
                <w:i w:val="0"/>
                <w:color w:val="000000"/>
                <w:kern w:val="0"/>
                <w:sz w:val="18"/>
                <w:szCs w:val="18"/>
                <w:u w:val="none"/>
                <w:lang w:val="en-US" w:eastAsia="zh-CN" w:bidi="ar"/>
              </w:rPr>
              <w:t>影响，人员县市流通受限，导致差旅费未支付完毕</w:t>
            </w:r>
          </w:p>
        </w:tc>
      </w:tr>
      <w:tr>
        <w:tblPrEx>
          <w:tblCellMar>
            <w:top w:w="0" w:type="dxa"/>
            <w:left w:w="108" w:type="dxa"/>
            <w:bottom w:w="0" w:type="dxa"/>
            <w:right w:w="108" w:type="dxa"/>
          </w:tblCellMar>
        </w:tblPrEx>
        <w:trPr>
          <w:trHeight w:val="283" w:hRule="atLeast"/>
          <w:jc w:val="center"/>
        </w:trPr>
        <w:tc>
          <w:tcPr>
            <w:tcW w:w="702" w:type="dxa"/>
            <w:vMerge w:val="continue"/>
            <w:tcBorders>
              <w:left w:val="single" w:color="auto" w:sz="4" w:space="0"/>
              <w:right w:val="single" w:color="auto" w:sz="4" w:space="0"/>
            </w:tcBorders>
            <w:vAlign w:val="center"/>
          </w:tcPr>
          <w:p>
            <w:pPr>
              <w:jc w:val="center"/>
              <w:rPr>
                <w:rFonts w:ascii="宋体" w:hAnsi="宋体" w:cs="宋体"/>
                <w:kern w:val="0"/>
                <w:sz w:val="18"/>
                <w:szCs w:val="18"/>
              </w:rPr>
            </w:pPr>
          </w:p>
        </w:tc>
        <w:tc>
          <w:tcPr>
            <w:tcW w:w="703"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702" w:type="dxa"/>
            <w:tcBorders>
              <w:top w:val="single" w:color="auto" w:sz="4" w:space="0"/>
              <w:left w:val="nil"/>
              <w:right w:val="single" w:color="auto" w:sz="4" w:space="0"/>
            </w:tcBorders>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社会效益指标</w:t>
            </w:r>
          </w:p>
        </w:tc>
        <w:tc>
          <w:tcPr>
            <w:tcW w:w="2107" w:type="dxa"/>
            <w:gridSpan w:val="3"/>
            <w:tcBorders>
              <w:top w:val="single" w:color="auto" w:sz="4" w:space="0"/>
              <w:left w:val="nil"/>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农机事故死亡人数</w:t>
            </w:r>
          </w:p>
        </w:tc>
        <w:tc>
          <w:tcPr>
            <w:tcW w:w="202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&lt;1人</w:t>
            </w:r>
          </w:p>
        </w:tc>
        <w:tc>
          <w:tcPr>
            <w:tcW w:w="702"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0人</w:t>
            </w:r>
          </w:p>
        </w:tc>
        <w:tc>
          <w:tcPr>
            <w:tcW w:w="703"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10</w:t>
            </w:r>
          </w:p>
        </w:tc>
        <w:tc>
          <w:tcPr>
            <w:tcW w:w="1406" w:type="dxa"/>
            <w:tcBorders>
              <w:top w:val="single" w:color="auto" w:sz="4" w:space="0"/>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4" w:hRule="atLeast"/>
          <w:jc w:val="center"/>
        </w:trPr>
        <w:tc>
          <w:tcPr>
            <w:tcW w:w="702" w:type="dxa"/>
            <w:vMerge w:val="continue"/>
            <w:tcBorders>
              <w:left w:val="single" w:color="auto" w:sz="4" w:space="0"/>
              <w:right w:val="single" w:color="auto" w:sz="4" w:space="0"/>
            </w:tcBorders>
            <w:vAlign w:val="center"/>
          </w:tcPr>
          <w:p>
            <w:pPr>
              <w:jc w:val="center"/>
              <w:rPr>
                <w:rFonts w:ascii="宋体" w:hAnsi="宋体" w:cs="宋体"/>
                <w:kern w:val="0"/>
                <w:sz w:val="18"/>
                <w:szCs w:val="18"/>
              </w:rPr>
            </w:pPr>
          </w:p>
        </w:tc>
        <w:tc>
          <w:tcPr>
            <w:tcW w:w="703"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702" w:type="dxa"/>
            <w:tcBorders>
              <w:top w:val="single" w:color="auto" w:sz="4" w:space="0"/>
              <w:left w:val="nil"/>
              <w:right w:val="single" w:color="auto" w:sz="4" w:space="0"/>
            </w:tcBorders>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生态效益指标</w:t>
            </w:r>
          </w:p>
        </w:tc>
        <w:tc>
          <w:tcPr>
            <w:tcW w:w="2107" w:type="dxa"/>
            <w:gridSpan w:val="3"/>
            <w:tcBorders>
              <w:top w:val="single" w:color="auto" w:sz="4" w:space="0"/>
              <w:left w:val="nil"/>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报废老旧拖拉机</w:t>
            </w:r>
          </w:p>
        </w:tc>
        <w:tc>
          <w:tcPr>
            <w:tcW w:w="202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≥500台</w:t>
            </w:r>
          </w:p>
        </w:tc>
        <w:tc>
          <w:tcPr>
            <w:tcW w:w="702"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3829台</w:t>
            </w:r>
          </w:p>
        </w:tc>
        <w:tc>
          <w:tcPr>
            <w:tcW w:w="703"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10</w:t>
            </w:r>
          </w:p>
        </w:tc>
        <w:tc>
          <w:tcPr>
            <w:tcW w:w="140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通过农机专项整治，加大执法检查查处力度，报废车辆增多</w:t>
            </w:r>
          </w:p>
        </w:tc>
      </w:tr>
      <w:tr>
        <w:tblPrEx>
          <w:tblCellMar>
            <w:top w:w="0" w:type="dxa"/>
            <w:left w:w="108" w:type="dxa"/>
            <w:bottom w:w="0" w:type="dxa"/>
            <w:right w:w="108" w:type="dxa"/>
          </w:tblCellMar>
        </w:tblPrEx>
        <w:trPr>
          <w:trHeight w:val="1167" w:hRule="atLeast"/>
          <w:jc w:val="center"/>
        </w:trPr>
        <w:tc>
          <w:tcPr>
            <w:tcW w:w="702" w:type="dxa"/>
            <w:vMerge w:val="continue"/>
            <w:tcBorders>
              <w:left w:val="single" w:color="auto" w:sz="4" w:space="0"/>
              <w:right w:val="single" w:color="auto" w:sz="4" w:space="0"/>
            </w:tcBorders>
            <w:vAlign w:val="center"/>
          </w:tcPr>
          <w:p>
            <w:pPr>
              <w:jc w:val="center"/>
              <w:rPr>
                <w:rFonts w:ascii="宋体" w:hAnsi="宋体" w:cs="宋体"/>
                <w:kern w:val="0"/>
                <w:sz w:val="18"/>
                <w:szCs w:val="18"/>
              </w:rPr>
            </w:pPr>
          </w:p>
        </w:tc>
        <w:tc>
          <w:tcPr>
            <w:tcW w:w="703"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702" w:type="dxa"/>
            <w:tcBorders>
              <w:top w:val="single" w:color="auto" w:sz="4" w:space="0"/>
              <w:left w:val="nil"/>
              <w:right w:val="single" w:color="auto" w:sz="4" w:space="0"/>
            </w:tcBorders>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可持续影响指标</w:t>
            </w:r>
          </w:p>
        </w:tc>
        <w:tc>
          <w:tcPr>
            <w:tcW w:w="2107" w:type="dxa"/>
            <w:gridSpan w:val="3"/>
            <w:tcBorders>
              <w:top w:val="single" w:color="auto" w:sz="4" w:space="0"/>
              <w:left w:val="nil"/>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持证率较上年递增</w:t>
            </w:r>
          </w:p>
        </w:tc>
        <w:tc>
          <w:tcPr>
            <w:tcW w:w="2026" w:type="dxa"/>
            <w:tcBorders>
              <w:top w:val="single" w:color="auto" w:sz="4" w:space="0"/>
              <w:left w:val="nil"/>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≥2.5%</w:t>
            </w:r>
          </w:p>
        </w:tc>
        <w:tc>
          <w:tcPr>
            <w:tcW w:w="702" w:type="dxa"/>
            <w:tcBorders>
              <w:top w:val="single" w:color="auto" w:sz="4" w:space="0"/>
              <w:left w:val="nil"/>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2.9%</w:t>
            </w:r>
          </w:p>
        </w:tc>
        <w:tc>
          <w:tcPr>
            <w:tcW w:w="703"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10</w:t>
            </w:r>
          </w:p>
        </w:tc>
        <w:tc>
          <w:tcPr>
            <w:tcW w:w="1406" w:type="dxa"/>
            <w:tcBorders>
              <w:top w:val="single" w:color="auto" w:sz="4" w:space="0"/>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328" w:hRule="exact"/>
          <w:jc w:val="center"/>
        </w:trPr>
        <w:tc>
          <w:tcPr>
            <w:tcW w:w="702"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18"/>
                <w:szCs w:val="18"/>
              </w:rPr>
            </w:pPr>
          </w:p>
        </w:tc>
        <w:tc>
          <w:tcPr>
            <w:tcW w:w="70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满意度指标</w:t>
            </w:r>
          </w:p>
        </w:tc>
        <w:tc>
          <w:tcPr>
            <w:tcW w:w="70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服务对象满意度指标</w:t>
            </w:r>
          </w:p>
        </w:tc>
        <w:tc>
          <w:tcPr>
            <w:tcW w:w="2107"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农机监理人员服务质量群众满意率</w:t>
            </w:r>
          </w:p>
        </w:tc>
        <w:tc>
          <w:tcPr>
            <w:tcW w:w="202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≥95%</w:t>
            </w:r>
          </w:p>
        </w:tc>
        <w:tc>
          <w:tcPr>
            <w:tcW w:w="702"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100%</w:t>
            </w:r>
          </w:p>
        </w:tc>
        <w:tc>
          <w:tcPr>
            <w:tcW w:w="703"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10</w:t>
            </w:r>
          </w:p>
        </w:tc>
        <w:tc>
          <w:tcPr>
            <w:tcW w:w="1406" w:type="dxa"/>
            <w:tcBorders>
              <w:top w:val="single" w:color="auto" w:sz="4" w:space="0"/>
              <w:left w:val="nil"/>
              <w:bottom w:val="single" w:color="auto" w:sz="4" w:space="0"/>
              <w:right w:val="single" w:color="auto" w:sz="4" w:space="0"/>
            </w:tcBorders>
            <w:vAlign w:val="center"/>
          </w:tcPr>
          <w:p>
            <w:pPr>
              <w:jc w:val="center"/>
            </w:pPr>
          </w:p>
        </w:tc>
      </w:tr>
    </w:tbl>
    <w:p>
      <w:pPr>
        <w:spacing w:line="540" w:lineRule="exact"/>
        <w:rPr>
          <w:rStyle w:val="21"/>
          <w:rFonts w:ascii="黑体" w:hAnsi="黑体" w:eastAsia="黑体"/>
          <w:bCs w:val="0"/>
          <w:spacing w:val="-4"/>
          <w:sz w:val="18"/>
          <w:szCs w:val="18"/>
        </w:rPr>
      </w:pPr>
    </w:p>
    <w:p>
      <w:pPr>
        <w:spacing w:line="540" w:lineRule="exact"/>
        <w:ind w:firstLine="640"/>
        <w:rPr>
          <w:rStyle w:val="21"/>
          <w:rFonts w:ascii="黑体" w:hAnsi="黑体" w:eastAsia="黑体"/>
          <w:bCs w:val="0"/>
          <w:spacing w:val="-4"/>
          <w:sz w:val="18"/>
          <w:szCs w:val="18"/>
        </w:rPr>
      </w:pPr>
    </w:p>
    <w:p>
      <w:pPr>
        <w:spacing w:line="540" w:lineRule="exact"/>
        <w:ind w:firstLine="640"/>
        <w:rPr>
          <w:rStyle w:val="21"/>
          <w:rFonts w:ascii="黑体" w:hAnsi="黑体" w:eastAsia="黑体"/>
          <w:bCs w:val="0"/>
          <w:spacing w:val="-4"/>
          <w:sz w:val="18"/>
          <w:szCs w:val="18"/>
        </w:rPr>
      </w:pPr>
    </w:p>
    <w:p>
      <w:pPr>
        <w:spacing w:line="540" w:lineRule="exact"/>
        <w:ind w:firstLine="640"/>
        <w:rPr>
          <w:rStyle w:val="21"/>
          <w:rFonts w:ascii="黑体" w:hAnsi="黑体" w:eastAsia="黑体"/>
          <w:bCs w:val="0"/>
          <w:spacing w:val="-4"/>
          <w:sz w:val="18"/>
          <w:szCs w:val="18"/>
        </w:rPr>
      </w:pPr>
    </w:p>
    <w:p>
      <w:pPr>
        <w:spacing w:line="540" w:lineRule="exact"/>
        <w:rPr>
          <w:rStyle w:val="21"/>
          <w:rFonts w:ascii="仿宋" w:hAnsi="仿宋" w:eastAsia="仿宋"/>
          <w:b w:val="0"/>
          <w:spacing w:val="-4"/>
          <w:sz w:val="18"/>
          <w:szCs w:val="18"/>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4"/>
          <w:jc w:val="center"/>
        </w:pPr>
        <w:r>
          <w:fldChar w:fldCharType="begin"/>
        </w:r>
        <w:r>
          <w:instrText xml:space="preserve">PAGE   \* MERGEFORMAT</w:instrText>
        </w:r>
        <w:r>
          <w:fldChar w:fldCharType="separate"/>
        </w:r>
        <w:r>
          <w:rPr>
            <w:lang w:val="zh-CN"/>
          </w:rPr>
          <w:t>2</w:t>
        </w:r>
        <w:r>
          <w:fldChar w:fldCharType="end"/>
        </w:r>
      </w:p>
    </w:sdtContent>
  </w:sdt>
  <w:p>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EE5C6BF8"/>
    <w:multiLevelType w:val="singleLevel"/>
    <w:tmpl w:val="EE5C6BF8"/>
    <w:lvl w:ilvl="0" w:tentative="0">
      <w:start w:val="2"/>
      <w:numFmt w:val="decimal"/>
      <w:suff w:val="nothing"/>
      <w:lvlText w:val="%1、"/>
      <w:lvlJc w:val="left"/>
    </w:lvl>
  </w:abstractNum>
  <w:abstractNum w:abstractNumId="2">
    <w:nsid w:val="FF4BB6DE"/>
    <w:multiLevelType w:val="singleLevel"/>
    <w:tmpl w:val="FF4BB6DE"/>
    <w:lvl w:ilvl="0" w:tentative="0">
      <w:start w:val="1"/>
      <w:numFmt w:val="decimal"/>
      <w:suff w:val="nothing"/>
      <w:lvlText w:val="%1、"/>
      <w:lvlJc w:val="left"/>
    </w:lvl>
  </w:abstractNum>
  <w:abstractNum w:abstractNumId="3">
    <w:nsid w:val="FF9379A8"/>
    <w:multiLevelType w:val="singleLevel"/>
    <w:tmpl w:val="FF9379A8"/>
    <w:lvl w:ilvl="0" w:tentative="0">
      <w:start w:val="2"/>
      <w:numFmt w:val="chineseCounting"/>
      <w:suff w:val="nothing"/>
      <w:lvlText w:val="（%1）"/>
      <w:lvlJc w:val="left"/>
      <w:rPr>
        <w:rFonts w:hint="eastAsia"/>
      </w:rPr>
    </w:lvl>
  </w:abstractNum>
  <w:abstractNum w:abstractNumId="4">
    <w:nsid w:val="116B29BF"/>
    <w:multiLevelType w:val="singleLevel"/>
    <w:tmpl w:val="116B29BF"/>
    <w:lvl w:ilvl="0" w:tentative="0">
      <w:start w:val="3"/>
      <w:numFmt w:val="chineseCounting"/>
      <w:suff w:val="nothing"/>
      <w:lvlText w:val="%1、"/>
      <w:lvlJc w:val="left"/>
      <w:rPr>
        <w:rFonts w:hint="eastAsia"/>
      </w:rPr>
    </w:lvl>
  </w:abstractNum>
  <w:abstractNum w:abstractNumId="5">
    <w:nsid w:val="3730CCE4"/>
    <w:multiLevelType w:val="singleLevel"/>
    <w:tmpl w:val="3730CCE4"/>
    <w:lvl w:ilvl="0" w:tentative="0">
      <w:start w:val="2"/>
      <w:numFmt w:val="decimal"/>
      <w:suff w:val="nothing"/>
      <w:lvlText w:val="（%1）"/>
      <w:lvlJc w:val="left"/>
    </w:lvl>
  </w:abstractNum>
  <w:abstractNum w:abstractNumId="6">
    <w:nsid w:val="6FAA0AB1"/>
    <w:multiLevelType w:val="singleLevel"/>
    <w:tmpl w:val="6FAA0AB1"/>
    <w:lvl w:ilvl="0" w:tentative="0">
      <w:start w:val="2"/>
      <w:numFmt w:val="chineseCounting"/>
      <w:suff w:val="nothing"/>
      <w:lvlText w:val="（%1）"/>
      <w:lvlJc w:val="left"/>
      <w:rPr>
        <w:rFonts w:hint="eastAsia"/>
      </w:rPr>
    </w:lvl>
  </w:abstractNum>
  <w:num w:numId="1">
    <w:abstractNumId w:val="5"/>
  </w:num>
  <w:num w:numId="2">
    <w:abstractNumId w:val="1"/>
  </w:num>
  <w:num w:numId="3">
    <w:abstractNumId w:val="4"/>
  </w:num>
  <w:num w:numId="4">
    <w:abstractNumId w:val="6"/>
  </w:num>
  <w:num w:numId="5">
    <w:abstractNumId w:val="3"/>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56465"/>
    <w:rsid w:val="000E50F0"/>
    <w:rsid w:val="000E586C"/>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DF7C45"/>
    <w:rsid w:val="00E31565"/>
    <w:rsid w:val="00E46C51"/>
    <w:rsid w:val="00E769FE"/>
    <w:rsid w:val="00EA2CBE"/>
    <w:rsid w:val="00F32FEE"/>
    <w:rsid w:val="00F71278"/>
    <w:rsid w:val="00FB10BB"/>
    <w:rsid w:val="051A56F5"/>
    <w:rsid w:val="066D6EAA"/>
    <w:rsid w:val="07024D2A"/>
    <w:rsid w:val="08C662D4"/>
    <w:rsid w:val="09BD4D95"/>
    <w:rsid w:val="0E732708"/>
    <w:rsid w:val="0F8D41CB"/>
    <w:rsid w:val="103163AD"/>
    <w:rsid w:val="10A332A1"/>
    <w:rsid w:val="11C75270"/>
    <w:rsid w:val="12637CC3"/>
    <w:rsid w:val="12E657C5"/>
    <w:rsid w:val="167C7687"/>
    <w:rsid w:val="168B3546"/>
    <w:rsid w:val="19374E19"/>
    <w:rsid w:val="1A2374E0"/>
    <w:rsid w:val="1C317CE2"/>
    <w:rsid w:val="1DD45808"/>
    <w:rsid w:val="1DED42AC"/>
    <w:rsid w:val="20005763"/>
    <w:rsid w:val="208D459C"/>
    <w:rsid w:val="20FB313D"/>
    <w:rsid w:val="218A3ECC"/>
    <w:rsid w:val="21A2440F"/>
    <w:rsid w:val="220B4804"/>
    <w:rsid w:val="23003F2D"/>
    <w:rsid w:val="2305241A"/>
    <w:rsid w:val="270D7540"/>
    <w:rsid w:val="273D0C2E"/>
    <w:rsid w:val="279B367D"/>
    <w:rsid w:val="282475E3"/>
    <w:rsid w:val="2B5D3B13"/>
    <w:rsid w:val="2C6100C1"/>
    <w:rsid w:val="2E196719"/>
    <w:rsid w:val="2E6E2144"/>
    <w:rsid w:val="304C3D16"/>
    <w:rsid w:val="3264220D"/>
    <w:rsid w:val="3281213E"/>
    <w:rsid w:val="32AE33DB"/>
    <w:rsid w:val="3359130F"/>
    <w:rsid w:val="336853A9"/>
    <w:rsid w:val="34550408"/>
    <w:rsid w:val="35C70BD2"/>
    <w:rsid w:val="3744380B"/>
    <w:rsid w:val="38B35112"/>
    <w:rsid w:val="3963178C"/>
    <w:rsid w:val="3C9764FC"/>
    <w:rsid w:val="41CC2676"/>
    <w:rsid w:val="42446475"/>
    <w:rsid w:val="430C528C"/>
    <w:rsid w:val="4343555E"/>
    <w:rsid w:val="438C0DF9"/>
    <w:rsid w:val="46B21672"/>
    <w:rsid w:val="47FD1F5C"/>
    <w:rsid w:val="4ECB6967"/>
    <w:rsid w:val="4F552460"/>
    <w:rsid w:val="4FCC6863"/>
    <w:rsid w:val="500A214A"/>
    <w:rsid w:val="50457B17"/>
    <w:rsid w:val="522D604D"/>
    <w:rsid w:val="5297585E"/>
    <w:rsid w:val="52AD7D6F"/>
    <w:rsid w:val="53A106C1"/>
    <w:rsid w:val="5549519D"/>
    <w:rsid w:val="5557596B"/>
    <w:rsid w:val="576A721B"/>
    <w:rsid w:val="5A506F60"/>
    <w:rsid w:val="5B596DFC"/>
    <w:rsid w:val="5DF03945"/>
    <w:rsid w:val="637C2815"/>
    <w:rsid w:val="68C86FD4"/>
    <w:rsid w:val="69193C4C"/>
    <w:rsid w:val="6DF401E1"/>
    <w:rsid w:val="6DFF0274"/>
    <w:rsid w:val="6E3B1497"/>
    <w:rsid w:val="701E55AB"/>
    <w:rsid w:val="706102BB"/>
    <w:rsid w:val="740E5EA8"/>
    <w:rsid w:val="75F76C56"/>
    <w:rsid w:val="762E4983"/>
    <w:rsid w:val="7A353D0B"/>
    <w:rsid w:val="7D3A5E2F"/>
    <w:rsid w:val="7DCA14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3"/>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4"/>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5"/>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6"/>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7"/>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8"/>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29"/>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0"/>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1"/>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2"/>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Body Text"/>
    <w:basedOn w:val="1"/>
    <w:qFormat/>
    <w:uiPriority w:val="0"/>
    <w:pPr>
      <w:spacing w:after="120"/>
    </w:pPr>
  </w:style>
  <w:style w:type="paragraph" w:styleId="13">
    <w:name w:val="Balloon Text"/>
    <w:basedOn w:val="1"/>
    <w:link w:val="48"/>
    <w:semiHidden/>
    <w:unhideWhenUsed/>
    <w:qFormat/>
    <w:uiPriority w:val="99"/>
    <w:rPr>
      <w:sz w:val="18"/>
      <w:szCs w:val="18"/>
    </w:rPr>
  </w:style>
  <w:style w:type="paragraph" w:styleId="14">
    <w:name w:val="footer"/>
    <w:basedOn w:val="1"/>
    <w:link w:val="47"/>
    <w:unhideWhenUsed/>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46"/>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Subtitle"/>
    <w:basedOn w:val="1"/>
    <w:next w:val="1"/>
    <w:link w:val="33"/>
    <w:qFormat/>
    <w:uiPriority w:val="11"/>
    <w:pPr>
      <w:widowControl/>
      <w:spacing w:after="60"/>
      <w:jc w:val="center"/>
      <w:outlineLvl w:val="1"/>
    </w:pPr>
    <w:rPr>
      <w:rFonts w:asciiTheme="majorHAnsi" w:hAnsiTheme="majorHAnsi" w:eastAsiaTheme="majorEastAsia"/>
      <w:kern w:val="0"/>
      <w:sz w:val="24"/>
    </w:rPr>
  </w:style>
  <w:style w:type="paragraph" w:styleId="17">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paragraph" w:styleId="18">
    <w:name w:val="Body Text First Indent"/>
    <w:basedOn w:val="12"/>
    <w:qFormat/>
    <w:uiPriority w:val="0"/>
    <w:pPr>
      <w:spacing w:after="0"/>
      <w:ind w:firstLine="200" w:firstLineChars="200"/>
    </w:pPr>
  </w:style>
  <w:style w:type="character" w:styleId="21">
    <w:name w:val="Strong"/>
    <w:basedOn w:val="20"/>
    <w:qFormat/>
    <w:uiPriority w:val="0"/>
    <w:rPr>
      <w:b/>
      <w:bCs/>
    </w:rPr>
  </w:style>
  <w:style w:type="character" w:styleId="22">
    <w:name w:val="Emphasis"/>
    <w:basedOn w:val="20"/>
    <w:qFormat/>
    <w:uiPriority w:val="20"/>
    <w:rPr>
      <w:rFonts w:asciiTheme="minorHAnsi" w:hAnsiTheme="minorHAnsi"/>
      <w:b/>
      <w:i/>
      <w:iCs/>
    </w:rPr>
  </w:style>
  <w:style w:type="character" w:customStyle="1" w:styleId="23">
    <w:name w:val="标题 1 字符"/>
    <w:basedOn w:val="20"/>
    <w:link w:val="3"/>
    <w:qFormat/>
    <w:uiPriority w:val="9"/>
    <w:rPr>
      <w:rFonts w:asciiTheme="majorHAnsi" w:hAnsiTheme="majorHAnsi" w:eastAsiaTheme="majorEastAsia"/>
      <w:b/>
      <w:bCs/>
      <w:kern w:val="32"/>
      <w:sz w:val="32"/>
      <w:szCs w:val="32"/>
    </w:rPr>
  </w:style>
  <w:style w:type="character" w:customStyle="1" w:styleId="24">
    <w:name w:val="标题 2 字符"/>
    <w:basedOn w:val="20"/>
    <w:link w:val="4"/>
    <w:semiHidden/>
    <w:qFormat/>
    <w:uiPriority w:val="9"/>
    <w:rPr>
      <w:rFonts w:asciiTheme="majorHAnsi" w:hAnsiTheme="majorHAnsi" w:eastAsiaTheme="majorEastAsia"/>
      <w:b/>
      <w:bCs/>
      <w:i/>
      <w:iCs/>
      <w:sz w:val="28"/>
      <w:szCs w:val="28"/>
    </w:rPr>
  </w:style>
  <w:style w:type="character" w:customStyle="1" w:styleId="25">
    <w:name w:val="标题 3 字符"/>
    <w:basedOn w:val="20"/>
    <w:link w:val="5"/>
    <w:semiHidden/>
    <w:qFormat/>
    <w:uiPriority w:val="9"/>
    <w:rPr>
      <w:rFonts w:asciiTheme="majorHAnsi" w:hAnsiTheme="majorHAnsi" w:eastAsiaTheme="majorEastAsia"/>
      <w:b/>
      <w:bCs/>
      <w:sz w:val="26"/>
      <w:szCs w:val="26"/>
    </w:rPr>
  </w:style>
  <w:style w:type="character" w:customStyle="1" w:styleId="26">
    <w:name w:val="标题 4 字符"/>
    <w:basedOn w:val="20"/>
    <w:link w:val="6"/>
    <w:semiHidden/>
    <w:qFormat/>
    <w:uiPriority w:val="9"/>
    <w:rPr>
      <w:b/>
      <w:bCs/>
      <w:sz w:val="28"/>
      <w:szCs w:val="28"/>
    </w:rPr>
  </w:style>
  <w:style w:type="character" w:customStyle="1" w:styleId="27">
    <w:name w:val="标题 5 字符"/>
    <w:basedOn w:val="20"/>
    <w:link w:val="7"/>
    <w:semiHidden/>
    <w:qFormat/>
    <w:uiPriority w:val="9"/>
    <w:rPr>
      <w:b/>
      <w:bCs/>
      <w:i/>
      <w:iCs/>
      <w:sz w:val="26"/>
      <w:szCs w:val="26"/>
    </w:rPr>
  </w:style>
  <w:style w:type="character" w:customStyle="1" w:styleId="28">
    <w:name w:val="标题 6 字符"/>
    <w:basedOn w:val="20"/>
    <w:link w:val="8"/>
    <w:semiHidden/>
    <w:qFormat/>
    <w:uiPriority w:val="9"/>
    <w:rPr>
      <w:b/>
      <w:bCs/>
    </w:rPr>
  </w:style>
  <w:style w:type="character" w:customStyle="1" w:styleId="29">
    <w:name w:val="标题 7 字符"/>
    <w:basedOn w:val="20"/>
    <w:link w:val="9"/>
    <w:semiHidden/>
    <w:qFormat/>
    <w:uiPriority w:val="9"/>
    <w:rPr>
      <w:sz w:val="24"/>
      <w:szCs w:val="24"/>
    </w:rPr>
  </w:style>
  <w:style w:type="character" w:customStyle="1" w:styleId="30">
    <w:name w:val="标题 8 字符"/>
    <w:basedOn w:val="20"/>
    <w:link w:val="10"/>
    <w:semiHidden/>
    <w:qFormat/>
    <w:uiPriority w:val="9"/>
    <w:rPr>
      <w:i/>
      <w:iCs/>
      <w:sz w:val="24"/>
      <w:szCs w:val="24"/>
    </w:rPr>
  </w:style>
  <w:style w:type="character" w:customStyle="1" w:styleId="31">
    <w:name w:val="标题 9 字符"/>
    <w:basedOn w:val="20"/>
    <w:link w:val="11"/>
    <w:semiHidden/>
    <w:qFormat/>
    <w:uiPriority w:val="9"/>
    <w:rPr>
      <w:rFonts w:asciiTheme="majorHAnsi" w:hAnsiTheme="majorHAnsi" w:eastAsiaTheme="majorEastAsia"/>
    </w:rPr>
  </w:style>
  <w:style w:type="character" w:customStyle="1" w:styleId="32">
    <w:name w:val="标题 字符"/>
    <w:basedOn w:val="20"/>
    <w:link w:val="2"/>
    <w:qFormat/>
    <w:uiPriority w:val="10"/>
    <w:rPr>
      <w:rFonts w:asciiTheme="majorHAnsi" w:hAnsiTheme="majorHAnsi" w:eastAsiaTheme="majorEastAsia"/>
      <w:b/>
      <w:bCs/>
      <w:kern w:val="28"/>
      <w:sz w:val="32"/>
      <w:szCs w:val="32"/>
    </w:rPr>
  </w:style>
  <w:style w:type="character" w:customStyle="1" w:styleId="33">
    <w:name w:val="副标题 字符"/>
    <w:basedOn w:val="20"/>
    <w:link w:val="16"/>
    <w:qFormat/>
    <w:uiPriority w:val="11"/>
    <w:rPr>
      <w:rFonts w:asciiTheme="majorHAnsi" w:hAnsiTheme="majorHAnsi" w:eastAsiaTheme="majorEastAsia"/>
      <w:sz w:val="24"/>
      <w:szCs w:val="24"/>
    </w:rPr>
  </w:style>
  <w:style w:type="paragraph" w:styleId="34">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5">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6">
    <w:name w:val="Quote"/>
    <w:basedOn w:val="1"/>
    <w:next w:val="1"/>
    <w:link w:val="37"/>
    <w:qFormat/>
    <w:uiPriority w:val="29"/>
    <w:pPr>
      <w:widowControl/>
      <w:jc w:val="left"/>
    </w:pPr>
    <w:rPr>
      <w:rFonts w:asciiTheme="minorHAnsi" w:hAnsiTheme="minorHAnsi" w:eastAsiaTheme="minorEastAsia"/>
      <w:i/>
      <w:kern w:val="0"/>
      <w:sz w:val="24"/>
    </w:rPr>
  </w:style>
  <w:style w:type="character" w:customStyle="1" w:styleId="37">
    <w:name w:val="引用 字符"/>
    <w:basedOn w:val="20"/>
    <w:link w:val="36"/>
    <w:qFormat/>
    <w:uiPriority w:val="29"/>
    <w:rPr>
      <w:i/>
      <w:sz w:val="24"/>
      <w:szCs w:val="24"/>
    </w:rPr>
  </w:style>
  <w:style w:type="paragraph" w:styleId="38">
    <w:name w:val="Intense Quote"/>
    <w:basedOn w:val="1"/>
    <w:next w:val="1"/>
    <w:link w:val="39"/>
    <w:qFormat/>
    <w:uiPriority w:val="30"/>
    <w:pPr>
      <w:widowControl/>
      <w:ind w:left="720" w:right="720"/>
      <w:jc w:val="left"/>
    </w:pPr>
    <w:rPr>
      <w:rFonts w:asciiTheme="minorHAnsi" w:hAnsiTheme="minorHAnsi" w:eastAsiaTheme="minorEastAsia"/>
      <w:b/>
      <w:i/>
      <w:kern w:val="0"/>
      <w:sz w:val="24"/>
      <w:szCs w:val="22"/>
    </w:rPr>
  </w:style>
  <w:style w:type="character" w:customStyle="1" w:styleId="39">
    <w:name w:val="明显引用 字符"/>
    <w:basedOn w:val="20"/>
    <w:link w:val="38"/>
    <w:qFormat/>
    <w:uiPriority w:val="30"/>
    <w:rPr>
      <w:b/>
      <w:i/>
      <w:sz w:val="24"/>
    </w:rPr>
  </w:style>
  <w:style w:type="character" w:customStyle="1" w:styleId="40">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1">
    <w:name w:val="明显强调1"/>
    <w:basedOn w:val="20"/>
    <w:qFormat/>
    <w:uiPriority w:val="21"/>
    <w:rPr>
      <w:b/>
      <w:i/>
      <w:sz w:val="24"/>
      <w:szCs w:val="24"/>
      <w:u w:val="single"/>
    </w:rPr>
  </w:style>
  <w:style w:type="character" w:customStyle="1" w:styleId="42">
    <w:name w:val="不明显参考1"/>
    <w:basedOn w:val="20"/>
    <w:qFormat/>
    <w:uiPriority w:val="31"/>
    <w:rPr>
      <w:sz w:val="24"/>
      <w:szCs w:val="24"/>
      <w:u w:val="single"/>
    </w:rPr>
  </w:style>
  <w:style w:type="character" w:customStyle="1" w:styleId="43">
    <w:name w:val="明显参考1"/>
    <w:basedOn w:val="20"/>
    <w:qFormat/>
    <w:uiPriority w:val="32"/>
    <w:rPr>
      <w:b/>
      <w:sz w:val="24"/>
      <w:u w:val="single"/>
    </w:rPr>
  </w:style>
  <w:style w:type="character" w:customStyle="1" w:styleId="44">
    <w:name w:val="书籍标题1"/>
    <w:basedOn w:val="20"/>
    <w:qFormat/>
    <w:uiPriority w:val="33"/>
    <w:rPr>
      <w:rFonts w:asciiTheme="majorHAnsi" w:hAnsiTheme="majorHAnsi" w:eastAsiaTheme="majorEastAsia"/>
      <w:b/>
      <w:i/>
      <w:sz w:val="24"/>
      <w:szCs w:val="24"/>
    </w:rPr>
  </w:style>
  <w:style w:type="paragraph" w:customStyle="1" w:styleId="45">
    <w:name w:val="TOC 标题1"/>
    <w:basedOn w:val="3"/>
    <w:next w:val="1"/>
    <w:semiHidden/>
    <w:unhideWhenUsed/>
    <w:qFormat/>
    <w:uiPriority w:val="39"/>
    <w:pPr>
      <w:outlineLvl w:val="9"/>
    </w:pPr>
    <w:rPr>
      <w:lang w:eastAsia="en-US" w:bidi="en-US"/>
    </w:rPr>
  </w:style>
  <w:style w:type="character" w:customStyle="1" w:styleId="46">
    <w:name w:val="页眉 字符"/>
    <w:basedOn w:val="20"/>
    <w:link w:val="15"/>
    <w:qFormat/>
    <w:uiPriority w:val="99"/>
    <w:rPr>
      <w:rFonts w:ascii="Calibri" w:hAnsi="Calibri" w:eastAsia="宋体"/>
      <w:kern w:val="2"/>
      <w:sz w:val="18"/>
      <w:szCs w:val="18"/>
    </w:rPr>
  </w:style>
  <w:style w:type="character" w:customStyle="1" w:styleId="47">
    <w:name w:val="页脚 字符"/>
    <w:basedOn w:val="20"/>
    <w:link w:val="14"/>
    <w:qFormat/>
    <w:uiPriority w:val="99"/>
    <w:rPr>
      <w:rFonts w:ascii="Calibri" w:hAnsi="Calibri" w:eastAsia="宋体"/>
      <w:kern w:val="2"/>
      <w:sz w:val="18"/>
      <w:szCs w:val="18"/>
    </w:rPr>
  </w:style>
  <w:style w:type="character" w:customStyle="1" w:styleId="48">
    <w:name w:val="批注框文本 字符"/>
    <w:basedOn w:val="20"/>
    <w:link w:val="13"/>
    <w:semiHidden/>
    <w:qFormat/>
    <w:uiPriority w:val="99"/>
    <w:rPr>
      <w:rFonts w:ascii="Times New Roman" w:hAnsi="Times New Roman" w:eastAsia="宋体"/>
      <w:kern w:val="2"/>
      <w:sz w:val="18"/>
      <w:szCs w:val="18"/>
    </w:rPr>
  </w:style>
  <w:style w:type="paragraph" w:customStyle="1" w:styleId="49">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0">
    <w:name w:val="fontstyle01"/>
    <w:qFormat/>
    <w:uiPriority w:val="0"/>
    <w:rPr>
      <w:rFonts w:ascii="仿宋_GB2312" w:hAnsi="仿宋_GB2312" w:eastAsia="仿宋_GB2312" w:cs="仿宋_GB2312"/>
      <w:color w:val="000000"/>
      <w:sz w:val="32"/>
      <w:szCs w:val="32"/>
    </w:rPr>
  </w:style>
  <w:style w:type="paragraph" w:customStyle="1" w:styleId="51">
    <w:name w:val="Other|1"/>
    <w:basedOn w:val="1"/>
    <w:qFormat/>
    <w:uiPriority w:val="0"/>
    <w:pPr>
      <w:spacing w:line="437" w:lineRule="auto"/>
      <w:ind w:firstLine="400"/>
    </w:pPr>
    <w:rPr>
      <w:rFonts w:ascii="宋体" w:hAnsi="宋体" w:cs="宋体"/>
      <w:sz w:val="19"/>
      <w:szCs w:val="19"/>
      <w:lang w:val="zh-TW" w:eastAsia="zh-TW"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1340</Words>
  <Characters>7640</Characters>
  <Lines>63</Lines>
  <Paragraphs>17</Paragraphs>
  <TotalTime>1</TotalTime>
  <ScaleCrop>false</ScaleCrop>
  <LinksUpToDate>false</LinksUpToDate>
  <CharactersWithSpaces>8963</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Administrator</cp:lastModifiedBy>
  <cp:lastPrinted>2019-12-31T08:02:00Z</cp:lastPrinted>
  <dcterms:modified xsi:type="dcterms:W3CDTF">2025-09-08T08:11:45Z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EB6DC4EC0202405EB9F08A92B519957D</vt:lpwstr>
  </property>
  <property fmtid="{D5CDD505-2E9C-101B-9397-08002B2CF9AE}" pid="4" name="KSOSaveFontToCloudKey">
    <vt:lpwstr>728097718_cloud</vt:lpwstr>
  </property>
</Properties>
</file>